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Wheeler David Leigh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FIREFLY AEROSPACE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 ARROW POINT DRIVE #109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CEDAR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Firefly Aerospace Inc.</w:t>
              </w:r>
            </w:hyperlink>
            <w:r>
              <w:rPr/>
              <w:t xml:space="preserve"> [ </w:t>
            </w:r>
            <w:r>
              <w:rPr>
                <w:rFonts w:ascii="Times;serif" w:hAnsi="Times;serif"/>
                <w:color w:val="0000FF"/>
                <w:sz w:val="24"/>
                <w:shd w:fill="FFFFFF" w:val="clear"/>
              </w:rPr>
              <w:t>FLY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25,044</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142,758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under the Firefly Aerospace Inc. 2025 Omnibus Incentive Plan. One-third of the RSUs vest at the one-year anniversary of the grant date, and 1/12 of the RSUs vest quarterly thereafter (such that the RSUs will be fully vested at the third anniversary of the grant date), subject in each case to the reporting person's continued employment with the Issuer through the respective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Leigh Wheeler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8094" TargetMode="External"/><Relationship Id="rId5" Type="http://schemas.openxmlformats.org/officeDocument/2006/relationships/hyperlink" Target="http://www.sec.gov/cgi-bin/browse-edgar?action=getcompany&amp;CIK=00018601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3438</Characters>
  <CharactersWithSpaces>4014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