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73" w:before="115" w:after="283"/>
        <w:jc w:val="center"/>
        <w:rPr>
          <w:rFonts w:ascii="Times New Roman" w:hAnsi="Times New Roman"/>
          <w:sz w:val="20"/>
        </w:rPr>
      </w:pPr>
      <w:bookmarkStart w:id="0" w:name="fly-20260811.htm"/>
      <w:bookmarkStart w:id="1" w:name="ksfly20260811"/>
      <w:bookmarkEnd w:id="0"/>
      <w:bookmarkEnd w:id="1"/>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spacing w:lineRule="atLeast" w:line="142"/>
        <w:ind w:left="4320" w:right="4320" w:hanging="0"/>
        <w:jc w:val="left"/>
        <w:rPr/>
      </w:pPr>
      <w:r>
        <w:rPr/>
        <w:t> </w:t>
      </w:r>
    </w:p>
    <w:p>
      <w:pPr>
        <w:pStyle w:val="Heading2"/>
        <w:bidi w:val="0"/>
        <w:spacing w:lineRule="auto" w:line="273"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spacing w:lineRule="atLeast" w:line="142"/>
        <w:ind w:left="4320" w:right="4320" w:hanging="0"/>
        <w:jc w:val="left"/>
        <w:rPr/>
      </w:pPr>
      <w:r>
        <w:rPr/>
        <w:t> </w:t>
      </w:r>
    </w:p>
    <w:p>
      <w:pPr>
        <w:pStyle w:val="TextBody"/>
        <w:bidi w:val="0"/>
        <w:spacing w:lineRule="auto" w:line="273"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lineRule="auto" w:line="273"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09" w:type="dxa"/>
        <w:jc w:val="left"/>
        <w:tblInd w:w="0" w:type="dxa"/>
        <w:tblLayout w:type="fixed"/>
        <w:tblCellMar>
          <w:top w:w="28" w:type="dxa"/>
          <w:left w:w="28" w:type="dxa"/>
          <w:bottom w:w="28" w:type="dxa"/>
          <w:right w:w="28" w:type="dxa"/>
        </w:tblCellMar>
      </w:tblPr>
      <w:tblGrid>
        <w:gridCol w:w="5609"/>
      </w:tblGrid>
      <w:tr>
        <w:trPr/>
        <w:tc>
          <w:tcPr>
            <w:tcW w:w="5609" w:type="dxa"/>
            <w:tcBorders/>
            <w:vAlign w:val="center"/>
          </w:tcPr>
          <w:p>
            <w:pPr>
              <w:pStyle w:val="TableContents"/>
              <w:bidi w:val="0"/>
              <w:spacing w:before="0" w:after="283"/>
              <w:jc w:val="left"/>
              <w:rPr>
                <w:sz w:val="4"/>
                <w:szCs w:val="4"/>
              </w:rPr>
            </w:pPr>
            <w:r>
              <w:rPr>
                <w:sz w:val="4"/>
                <w:szCs w:val="4"/>
              </w:rPr>
            </w:r>
          </w:p>
        </w:tc>
      </w:tr>
      <w:tr>
        <w:trPr/>
        <w:tc>
          <w:tcPr>
            <w:tcW w:w="5609" w:type="dxa"/>
            <w:tcBorders/>
            <w:tcMar>
              <w:top w:w="0" w:type="dxa"/>
              <w:left w:w="0" w:type="dxa"/>
              <w:bottom w:w="0" w:type="dxa"/>
              <w:right w:w="0" w:type="dxa"/>
            </w:tcMar>
            <w:vAlign w:val="center"/>
          </w:tcPr>
          <w:p>
            <w:pPr>
              <w:pStyle w:val="TableContents"/>
              <w:bidi w:val="0"/>
              <w:spacing w:lineRule="auto" w:line="252"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August 11, 2026</w:t>
            </w:r>
          </w:p>
        </w:tc>
      </w:tr>
    </w:tbl>
    <w:p>
      <w:pPr>
        <w:pStyle w:val="TextBody"/>
        <w:pBdr>
          <w:bottom w:val="single" w:sz="6" w:space="1" w:color="000000"/>
        </w:pBdr>
        <w:bidi w:val="0"/>
        <w:spacing w:lineRule="atLeast" w:line="142" w:before="100" w:after="283"/>
        <w:ind w:left="4320" w:right="4320" w:hanging="0"/>
        <w:jc w:val="left"/>
        <w:rPr/>
      </w:pPr>
      <w:r>
        <w:rPr/>
        <w:t> </w:t>
      </w:r>
    </w:p>
    <w:p>
      <w:pPr>
        <w:pStyle w:val="TextBody"/>
        <w:bidi w:val="0"/>
        <w:spacing w:lineRule="atLeast" w:line="142"/>
        <w:jc w:val="left"/>
        <w:rPr/>
      </w:pPr>
      <w:r>
        <w:rPr/>
        <w:t> </w:t>
      </w:r>
    </w:p>
    <w:p>
      <w:pPr>
        <w:pStyle w:val="TextBody"/>
        <w:bidi w:val="0"/>
        <w:spacing w:lineRule="auto" w:line="273" w:before="100" w:after="283"/>
        <w:jc w:val="center"/>
        <w:rPr>
          <w:rFonts w:ascii="Times New Roman" w:hAnsi="Times New Roman"/>
          <w:b/>
          <w:color w:val="000000"/>
          <w:sz w:val="48"/>
        </w:rPr>
      </w:pPr>
      <w:r>
        <w:rPr>
          <w:rFonts w:ascii="Times New Roman" w:hAnsi="Times New Roman"/>
          <w:b/>
          <w:color w:val="000000"/>
          <w:sz w:val="48"/>
        </w:rPr>
        <w:t>Firefly Aerospace Inc.</w:t>
      </w:r>
    </w:p>
    <w:p>
      <w:pPr>
        <w:pStyle w:val="TextBody"/>
        <w:bidi w:val="0"/>
        <w:spacing w:lineRule="auto" w:line="273"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lineRule="atLeast" w:line="142" w:before="180" w:after="283"/>
        <w:ind w:left="4320" w:right="4320" w:hanging="0"/>
        <w:jc w:val="left"/>
        <w:rPr/>
      </w:pPr>
      <w:r>
        <w:rPr/>
        <w:t> </w:t>
      </w:r>
    </w:p>
    <w:p>
      <w:pPr>
        <w:pStyle w:val="TextBody"/>
        <w:bidi w:val="0"/>
        <w:spacing w:lineRule="atLeast" w:line="142"/>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5"/>
        <w:gridCol w:w="871"/>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001-42789</w:t>
            </w:r>
          </w:p>
        </w:tc>
        <w:tc>
          <w:tcPr>
            <w:tcW w:w="13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81-5194980</w:t>
            </w:r>
          </w:p>
        </w:tc>
      </w:tr>
      <w:tr>
        <w:trPr/>
        <w:tc>
          <w:tcPr>
            <w:tcW w:w="268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871"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2203 Scottsdale Drive</w:t>
            </w:r>
          </w:p>
        </w:tc>
        <w:tc>
          <w:tcPr>
            <w:tcW w:w="3182" w:type="dxa"/>
            <w:gridSpan w:val="2"/>
            <w:tcBorders/>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Leander, Texas</w:t>
            </w:r>
          </w:p>
        </w:tc>
        <w:tc>
          <w:tcPr>
            <w:tcW w:w="18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78641</w:t>
            </w:r>
          </w:p>
        </w:tc>
      </w:tr>
      <w:tr>
        <w:trPr/>
        <w:tc>
          <w:tcPr>
            <w:tcW w:w="268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lineRule="atLeast" w:line="142"/>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lineRule="auto" w:line="252"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512</w:t>
            </w:r>
            <w:r>
              <w:rPr>
                <w:rFonts w:ascii="Times New Roman" w:hAnsi="Times New Roman"/>
                <w:color w:val="000000"/>
                <w:sz w:val="20"/>
              </w:rPr>
              <w:t xml:space="preserve"> </w:t>
            </w:r>
            <w:r>
              <w:rPr>
                <w:rFonts w:ascii="Times New Roman" w:hAnsi="Times New Roman"/>
                <w:b/>
                <w:color w:val="000000"/>
                <w:sz w:val="20"/>
              </w:rPr>
              <w:t>893-5570</w:t>
            </w:r>
          </w:p>
        </w:tc>
      </w:tr>
    </w:tbl>
    <w:p>
      <w:pPr>
        <w:pStyle w:val="TextBody"/>
        <w:bidi w:val="0"/>
        <w:spacing w:lineRule="atLeast" w:line="142"/>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lineRule="auto" w:line="252" w:before="8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spacing w:lineRule="auto" w:line="273"/>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lineRule="atLeast" w:line="142" w:before="187" w:after="283"/>
        <w:ind w:left="4320" w:right="4320" w:hanging="0"/>
        <w:jc w:val="left"/>
        <w:rPr/>
      </w:pPr>
      <w:r>
        <w:rPr/>
        <w:t> </w:t>
      </w:r>
    </w:p>
    <w:p>
      <w:pPr>
        <w:pStyle w:val="TextBody"/>
        <w:bidi w:val="0"/>
        <w:spacing w:lineRule="auto" w:line="273"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73"/>
        <w:jc w:val="left"/>
        <w:rPr/>
      </w:pPr>
      <w:r>
        <w:rPr/>
        <w:t> </w:t>
      </w:r>
    </w:p>
    <w:tbl>
      <w:tblPr>
        <w:tblW w:w="9800" w:type="dxa"/>
        <w:jc w:val="left"/>
        <w:tblInd w:w="0" w:type="dxa"/>
        <w:tblLayout w:type="fixed"/>
        <w:tblCellMar>
          <w:top w:w="28" w:type="dxa"/>
          <w:left w:w="28" w:type="dxa"/>
          <w:bottom w:w="28" w:type="dxa"/>
          <w:right w:w="28" w:type="dxa"/>
        </w:tblCellMar>
      </w:tblPr>
      <w:tblGrid>
        <w:gridCol w:w="475"/>
        <w:gridCol w:w="9325"/>
      </w:tblGrid>
      <w:tr>
        <w:trPr/>
        <w:tc>
          <w:tcPr>
            <w:tcW w:w="475" w:type="dxa"/>
            <w:tcBorders/>
            <w:vAlign w:val="center"/>
          </w:tcPr>
          <w:p>
            <w:pPr>
              <w:pStyle w:val="TableContents"/>
              <w:bidi w:val="0"/>
              <w:spacing w:before="0" w:after="283"/>
              <w:jc w:val="left"/>
              <w:rPr>
                <w:sz w:val="4"/>
                <w:szCs w:val="4"/>
              </w:rPr>
            </w:pPr>
            <w:r>
              <w:rPr>
                <w:sz w:val="4"/>
                <w:szCs w:val="4"/>
              </w:rPr>
            </w:r>
          </w:p>
        </w:tc>
        <w:tc>
          <w:tcPr>
            <w:tcW w:w="9325" w:type="dxa"/>
            <w:tcBorders/>
            <w:vAlign w:val="center"/>
          </w:tcPr>
          <w:p>
            <w:pPr>
              <w:pStyle w:val="TableContents"/>
              <w:bidi w:val="0"/>
              <w:spacing w:before="0" w:after="283"/>
              <w:jc w:val="left"/>
              <w:rPr>
                <w:sz w:val="4"/>
                <w:szCs w:val="4"/>
              </w:rPr>
            </w:pPr>
            <w:r>
              <w:rPr>
                <w:sz w:val="4"/>
                <w:szCs w:val="4"/>
              </w:rPr>
            </w:r>
          </w:p>
        </w:tc>
      </w:tr>
      <w:tr>
        <w:trPr/>
        <w:tc>
          <w:tcPr>
            <w:tcW w:w="475" w:type="dxa"/>
            <w:tcBorders/>
            <w:tcMar>
              <w:top w:w="0" w:type="dxa"/>
              <w:left w:w="0" w:type="dxa"/>
              <w:bottom w:w="0" w:type="dxa"/>
              <w:right w:w="0" w:type="dxa"/>
            </w:tcMar>
            <w:vAlign w:val="center"/>
          </w:tcPr>
          <w:p>
            <w:pPr>
              <w:pStyle w:val="TableContents"/>
              <w:bidi w:val="0"/>
              <w:spacing w:lineRule="auto" w:line="252" w:before="120" w:after="283"/>
              <w:ind w:left="0" w:right="0" w:firstLine="144"/>
              <w:jc w:val="right"/>
              <w:rPr>
                <w:color w:val="000000"/>
              </w:rPr>
            </w:pPr>
            <w:r>
              <w:rPr>
                <w:color w:val="000000"/>
              </w:rPr>
              <w:t>☐</w:t>
            </w:r>
          </w:p>
        </w:tc>
        <w:tc>
          <w:tcPr>
            <w:tcW w:w="9325" w:type="dxa"/>
            <w:tcBorders/>
            <w:tcMar>
              <w:top w:w="0" w:type="dxa"/>
              <w:left w:w="0" w:type="dxa"/>
              <w:bottom w:w="0" w:type="dxa"/>
              <w:right w:w="0" w:type="dxa"/>
            </w:tcMar>
            <w:vAlign w:val="center"/>
          </w:tcPr>
          <w:p>
            <w:pPr>
              <w:pStyle w:val="TableContents"/>
              <w:bidi w:val="0"/>
              <w:spacing w:lineRule="auto" w:line="252" w:before="120" w:after="283"/>
              <w:ind w:left="144" w:right="0" w:firstLine="144"/>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475" w:type="dxa"/>
            <w:tcBorders/>
            <w:tcMar>
              <w:top w:w="0" w:type="dxa"/>
              <w:left w:w="0" w:type="dxa"/>
              <w:bottom w:w="0" w:type="dxa"/>
              <w:right w:w="0" w:type="dxa"/>
            </w:tcMar>
            <w:vAlign w:val="center"/>
          </w:tcPr>
          <w:p>
            <w:pPr>
              <w:pStyle w:val="TableContents"/>
              <w:bidi w:val="0"/>
              <w:spacing w:lineRule="auto" w:line="252" w:before="120" w:after="283"/>
              <w:ind w:left="0" w:right="0" w:firstLine="144"/>
              <w:jc w:val="right"/>
              <w:rPr>
                <w:color w:val="000000"/>
              </w:rPr>
            </w:pPr>
            <w:r>
              <w:rPr>
                <w:color w:val="000000"/>
              </w:rPr>
              <w:t>☐</w:t>
            </w:r>
          </w:p>
        </w:tc>
        <w:tc>
          <w:tcPr>
            <w:tcW w:w="9325" w:type="dxa"/>
            <w:tcBorders/>
            <w:tcMar>
              <w:top w:w="0" w:type="dxa"/>
              <w:left w:w="0" w:type="dxa"/>
              <w:bottom w:w="0" w:type="dxa"/>
              <w:right w:w="0" w:type="dxa"/>
            </w:tcMar>
            <w:vAlign w:val="center"/>
          </w:tcPr>
          <w:p>
            <w:pPr>
              <w:pStyle w:val="TableContents"/>
              <w:bidi w:val="0"/>
              <w:spacing w:lineRule="auto" w:line="252" w:before="120" w:after="283"/>
              <w:ind w:left="144" w:right="0" w:firstLine="144"/>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475" w:type="dxa"/>
            <w:tcBorders/>
            <w:tcMar>
              <w:top w:w="0" w:type="dxa"/>
              <w:left w:w="0" w:type="dxa"/>
              <w:bottom w:w="0" w:type="dxa"/>
              <w:right w:w="0" w:type="dxa"/>
            </w:tcMar>
            <w:vAlign w:val="center"/>
          </w:tcPr>
          <w:p>
            <w:pPr>
              <w:pStyle w:val="TableContents"/>
              <w:bidi w:val="0"/>
              <w:spacing w:lineRule="auto" w:line="252" w:before="120" w:after="283"/>
              <w:ind w:left="0" w:right="0" w:firstLine="144"/>
              <w:jc w:val="right"/>
              <w:rPr>
                <w:color w:val="000000"/>
              </w:rPr>
            </w:pPr>
            <w:r>
              <w:rPr>
                <w:color w:val="000000"/>
              </w:rPr>
              <w:t>☐</w:t>
            </w:r>
          </w:p>
        </w:tc>
        <w:tc>
          <w:tcPr>
            <w:tcW w:w="9325" w:type="dxa"/>
            <w:tcBorders/>
            <w:tcMar>
              <w:top w:w="0" w:type="dxa"/>
              <w:left w:w="0" w:type="dxa"/>
              <w:bottom w:w="0" w:type="dxa"/>
              <w:right w:w="0" w:type="dxa"/>
            </w:tcMar>
            <w:vAlign w:val="center"/>
          </w:tcPr>
          <w:p>
            <w:pPr>
              <w:pStyle w:val="TableContents"/>
              <w:bidi w:val="0"/>
              <w:spacing w:lineRule="auto" w:line="252" w:before="120" w:after="283"/>
              <w:ind w:left="144" w:right="0" w:firstLine="144"/>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475" w:type="dxa"/>
            <w:tcBorders/>
            <w:tcMar>
              <w:top w:w="0" w:type="dxa"/>
              <w:left w:w="0" w:type="dxa"/>
              <w:bottom w:w="0" w:type="dxa"/>
              <w:right w:w="0" w:type="dxa"/>
            </w:tcMar>
            <w:vAlign w:val="center"/>
          </w:tcPr>
          <w:p>
            <w:pPr>
              <w:pStyle w:val="TableContents"/>
              <w:bidi w:val="0"/>
              <w:spacing w:lineRule="auto" w:line="252" w:before="120" w:after="283"/>
              <w:ind w:left="0" w:right="0" w:firstLine="144"/>
              <w:jc w:val="right"/>
              <w:rPr>
                <w:color w:val="000000"/>
              </w:rPr>
            </w:pPr>
            <w:r>
              <w:rPr>
                <w:color w:val="000000"/>
              </w:rPr>
              <w:t>☐</w:t>
            </w:r>
          </w:p>
        </w:tc>
        <w:tc>
          <w:tcPr>
            <w:tcW w:w="9325" w:type="dxa"/>
            <w:tcBorders/>
            <w:tcMar>
              <w:top w:w="0" w:type="dxa"/>
              <w:left w:w="0" w:type="dxa"/>
              <w:bottom w:w="0" w:type="dxa"/>
              <w:right w:w="0" w:type="dxa"/>
            </w:tcMar>
            <w:vAlign w:val="center"/>
          </w:tcPr>
          <w:p>
            <w:pPr>
              <w:pStyle w:val="TableContents"/>
              <w:bidi w:val="0"/>
              <w:spacing w:lineRule="auto" w:line="252" w:before="120" w:after="283"/>
              <w:ind w:left="144" w:right="0" w:firstLine="144"/>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lineRule="auto" w:line="273"/>
        <w:jc w:val="left"/>
        <w:rPr/>
      </w:pPr>
      <w:r>
        <w:rPr/>
        <w:t> </w:t>
      </w:r>
    </w:p>
    <w:p>
      <w:pPr>
        <w:pStyle w:val="TextBody"/>
        <w:bidi w:val="0"/>
        <w:spacing w:lineRule="auto" w:line="273"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40" w:type="dxa"/>
        <w:jc w:val="left"/>
        <w:tblInd w:w="0" w:type="dxa"/>
        <w:tblLayout w:type="fixed"/>
        <w:tblCellMar>
          <w:top w:w="28" w:type="dxa"/>
          <w:left w:w="28" w:type="dxa"/>
          <w:bottom w:w="28" w:type="dxa"/>
          <w:right w:w="28" w:type="dxa"/>
        </w:tblCellMar>
      </w:tblPr>
      <w:tblGrid>
        <w:gridCol w:w="3676"/>
        <w:gridCol w:w="146"/>
        <w:gridCol w:w="946"/>
        <w:gridCol w:w="146"/>
        <w:gridCol w:w="3826"/>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76" w:type="dxa"/>
            <w:tcBorders>
              <w:bottom w:val="single" w:sz="2"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lineRule="auto" w:line="252"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lineRule="auto" w:line="252"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lineRule="auto" w:line="252"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7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FLY</w:t>
            </w:r>
          </w:p>
        </w:tc>
        <w:tc>
          <w:tcPr>
            <w:tcW w:w="14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lineRule="auto" w:line="252"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lineRule="auto" w:line="273"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73"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lineRule="auto" w:line="273"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Heading2"/>
        <w:bidi w:val="0"/>
        <w:spacing w:lineRule="auto" w:line="273"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On August 11, 2026, Firefly Aerospace Inc. (the “Company”) issued a press release announcing its financial results for the second quarter ended June 30, 2026. A copy of the press release is attached as Exhibit 99.1 to this Current Report on Form 8-K and incorporated herein by reference.</w:t>
      </w:r>
    </w:p>
    <w:p>
      <w:pPr>
        <w:pStyle w:val="TextBody"/>
        <w:bidi w:val="0"/>
        <w:spacing w:lineRule="auto" w:line="273"/>
        <w:jc w:val="left"/>
        <w:rPr/>
      </w:pPr>
      <w:r>
        <w:rPr/>
        <w:t> </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 xml:space="preserve">The information in this Item 2.02, including Exhibit 99.1, is being furnished and shall not be deemed “filed” for purposes of Section 18 (the “Section”) of the Securities Exchange Act of 1934, as amended (the “Exchange Act”), or otherwise subject to the liabilities of that Section, nor shall it be deemed incorporated by reference into any registration statement or other filing under the Securities Act of 1933, as amended, or the Exchange Act, except as shall be expressly set forth by specific reference in such filing. </w:t>
      </w:r>
    </w:p>
    <w:p>
      <w:pPr>
        <w:pStyle w:val="Heading2"/>
        <w:bidi w:val="0"/>
        <w:spacing w:lineRule="auto" w:line="273"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lineRule="auto" w:line="273"/>
        <w:jc w:val="left"/>
        <w:rPr>
          <w:rFonts w:ascii="Times New Roman" w:hAnsi="Times New Roman"/>
          <w:color w:val="000000"/>
          <w:sz w:val="20"/>
        </w:rPr>
      </w:pPr>
      <w:r>
        <w:rPr>
          <w:rFonts w:ascii="Times New Roman" w:hAnsi="Times New Roman"/>
          <w:color w:val="000000"/>
          <w:sz w:val="20"/>
        </w:rPr>
        <w:t>(d) Exhibits.</w:t>
      </w:r>
    </w:p>
    <w:p>
      <w:pPr>
        <w:pStyle w:val="TextBody"/>
        <w:bidi w:val="0"/>
        <w:spacing w:lineRule="auto" w:line="273"/>
        <w:jc w:val="left"/>
        <w:rPr/>
      </w:pPr>
      <w:r>
        <w:rPr/>
        <w:t> </w:t>
      </w:r>
    </w:p>
    <w:tbl>
      <w:tblPr>
        <w:tblW w:w="2046" w:type="dxa"/>
        <w:jc w:val="left"/>
        <w:tblInd w:w="0" w:type="dxa"/>
        <w:tblLayout w:type="fixed"/>
        <w:tblCellMar>
          <w:top w:w="28" w:type="dxa"/>
          <w:left w:w="28" w:type="dxa"/>
          <w:bottom w:w="28" w:type="dxa"/>
          <w:right w:w="28" w:type="dxa"/>
        </w:tblCellMar>
      </w:tblPr>
      <w:tblGrid>
        <w:gridCol w:w="811"/>
        <w:gridCol w:w="109"/>
        <w:gridCol w:w="1126"/>
      </w:tblGrid>
      <w:tr>
        <w:trPr/>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lineRule="auto" w:line="252"/>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lineRule="auto" w:line="252" w:before="0" w:after="283"/>
              <w:jc w:val="left"/>
              <w:rPr>
                <w:rFonts w:ascii="Times New Roman" w:hAnsi="Times New Roman"/>
                <w:b/>
                <w:color w:val="000000"/>
                <w:sz w:val="20"/>
                <w:u w:val="single"/>
              </w:rPr>
            </w:pPr>
            <w:r>
              <w:rPr>
                <w:rFonts w:ascii="Times New Roman" w:hAnsi="Times New Roman"/>
                <w:b/>
                <w:color w:val="000000"/>
                <w:sz w:val="20"/>
                <w:u w:val="single"/>
              </w:rPr>
              <w:t>Number</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bl>
    <w:p>
      <w:pPr>
        <w:pStyle w:val="TextBody"/>
        <w:bidi w:val="0"/>
        <w:spacing w:lineRule="auto" w:line="273"/>
        <w:jc w:val="left"/>
        <w:rPr/>
      </w:pPr>
      <w:r>
        <w:rPr/>
        <w:t> </w:t>
      </w:r>
    </w:p>
    <w:tbl>
      <w:tblPr>
        <w:tblW w:w="7228" w:type="dxa"/>
        <w:jc w:val="left"/>
        <w:tblInd w:w="0" w:type="dxa"/>
        <w:tblLayout w:type="fixed"/>
        <w:tblCellMar>
          <w:top w:w="28" w:type="dxa"/>
          <w:left w:w="28" w:type="dxa"/>
          <w:bottom w:w="28" w:type="dxa"/>
          <w:right w:w="28" w:type="dxa"/>
        </w:tblCellMar>
      </w:tblPr>
      <w:tblGrid>
        <w:gridCol w:w="481"/>
        <w:gridCol w:w="146"/>
        <w:gridCol w:w="6601"/>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4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hyperlink w:anchor="fly-ex99_1.htm">
              <w:r>
                <w:rPr>
                  <w:rStyle w:val="InternetLink"/>
                  <w:rFonts w:ascii="Times New Roman" w:hAnsi="Times New Roman"/>
                  <w:color w:val="0000FF"/>
                  <w:sz w:val="20"/>
                  <w:u w:val="single"/>
                </w:rPr>
                <w:t>Press Release of Firefly Aerospace Inc. dated August 11, 2026.</w:t>
              </w:r>
            </w:hyperlink>
            <w:hyperlink w:anchor="fly-ex99_1.htm">
              <w:r>
                <w:rPr>
                  <w:rStyle w:val="InternetLink"/>
                  <w:rFonts w:ascii="Times New Roman" w:hAnsi="Times New Roman"/>
                  <w:color w:val="0000FF"/>
                  <w:sz w:val="20"/>
                </w:rPr>
                <w:t xml:space="preserve"> </w:t>
              </w:r>
            </w:hyperlink>
          </w:p>
        </w:tc>
      </w:tr>
      <w:tr>
        <w:trPr/>
        <w:tc>
          <w:tcPr>
            <w:tcW w:w="4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lineRule="auto" w:line="273"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089" w:type="dxa"/>
        <w:jc w:val="left"/>
        <w:tblInd w:w="0" w:type="dxa"/>
        <w:tblLayout w:type="fixed"/>
        <w:tblCellMar>
          <w:top w:w="28" w:type="dxa"/>
          <w:left w:w="28" w:type="dxa"/>
          <w:bottom w:w="28" w:type="dxa"/>
          <w:right w:w="28" w:type="dxa"/>
        </w:tblCellMar>
      </w:tblPr>
      <w:tblGrid>
        <w:gridCol w:w="556"/>
        <w:gridCol w:w="1456"/>
        <w:gridCol w:w="406"/>
        <w:gridCol w:w="2671"/>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lineRule="auto" w:line="252" w:before="86" w:after="86"/>
              <w:jc w:val="left"/>
              <w:rPr>
                <w:rFonts w:ascii="Times New Roman" w:hAnsi="Times New Roman"/>
                <w:b/>
                <w:color w:val="000000"/>
                <w:sz w:val="20"/>
              </w:rPr>
            </w:pPr>
            <w:r>
              <w:rPr>
                <w:rFonts w:ascii="Times New Roman" w:hAnsi="Times New Roman"/>
                <w:b/>
                <w:color w:val="000000"/>
                <w:sz w:val="20"/>
              </w:rPr>
              <w:t>FIREFLY AEROSPACE INC.</w:t>
            </w:r>
          </w:p>
        </w:tc>
      </w:tr>
      <w:tr>
        <w:trPr/>
        <w:tc>
          <w:tcPr>
            <w:tcW w:w="5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lineRule="auto" w:line="252"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lineRule="auto" w:line="252" w:before="86" w:after="283"/>
              <w:jc w:val="left"/>
              <w:rPr>
                <w:rFonts w:ascii="Times New Roman" w:hAnsi="Times New Roman"/>
                <w:color w:val="000000"/>
                <w:sz w:val="20"/>
              </w:rPr>
            </w:pPr>
            <w:r>
              <w:rPr>
                <w:rFonts w:ascii="Times New Roman" w:hAnsi="Times New Roman"/>
                <w:color w:val="000000"/>
                <w:sz w:val="20"/>
              </w:rPr>
              <w:t>August 11, 2026</w:t>
            </w:r>
          </w:p>
        </w:tc>
        <w:tc>
          <w:tcPr>
            <w:tcW w:w="406" w:type="dxa"/>
            <w:tcBorders/>
            <w:tcMar>
              <w:top w:w="0" w:type="dxa"/>
              <w:left w:w="0" w:type="dxa"/>
              <w:bottom w:w="0" w:type="dxa"/>
              <w:right w:w="0" w:type="dxa"/>
            </w:tcMar>
            <w:vAlign w:val="center"/>
          </w:tcPr>
          <w:p>
            <w:pPr>
              <w:pStyle w:val="TableContents"/>
              <w:bidi w:val="0"/>
              <w:spacing w:lineRule="auto" w:line="252" w:before="86" w:after="283"/>
              <w:jc w:val="left"/>
              <w:rPr>
                <w:rFonts w:ascii="Times New Roman" w:hAnsi="Times New Roman"/>
                <w:color w:val="000000"/>
                <w:sz w:val="20"/>
              </w:rPr>
            </w:pPr>
            <w:r>
              <w:rPr>
                <w:rFonts w:ascii="Times New Roman" w:hAnsi="Times New Roman"/>
                <w:color w:val="000000"/>
                <w:sz w:val="20"/>
              </w:rPr>
              <w:t>By:</w:t>
            </w:r>
          </w:p>
        </w:tc>
        <w:tc>
          <w:tcPr>
            <w:tcW w:w="2671" w:type="dxa"/>
            <w:tcBorders>
              <w:bottom w:val="single" w:sz="2" w:space="0" w:color="000000"/>
            </w:tcBorders>
            <w:tcMar>
              <w:top w:w="0" w:type="dxa"/>
              <w:left w:w="0" w:type="dxa"/>
              <w:right w:w="0" w:type="dxa"/>
            </w:tcMar>
            <w:vAlign w:val="center"/>
          </w:tcPr>
          <w:p>
            <w:pPr>
              <w:pStyle w:val="TableContents"/>
              <w:bidi w:val="0"/>
              <w:spacing w:lineRule="auto" w:line="252" w:before="86" w:after="283"/>
              <w:jc w:val="left"/>
              <w:rPr>
                <w:rFonts w:ascii="Times New Roman" w:hAnsi="Times New Roman"/>
                <w:sz w:val="20"/>
              </w:rPr>
            </w:pPr>
            <w:r>
              <w:rPr>
                <w:rFonts w:ascii="Times New Roman" w:hAnsi="Times New Roman"/>
                <w:color w:val="000000"/>
                <w:sz w:val="20"/>
              </w:rPr>
              <w:t xml:space="preserve">/s/ </w:t>
            </w:r>
            <w:r>
              <w:rPr>
                <w:rFonts w:ascii="Times New Roman" w:hAnsi="Times New Roman"/>
                <w:b/>
                <w:color w:val="000000"/>
                <w:sz w:val="20"/>
              </w:rPr>
              <w:t>Darren Ma</w:t>
            </w:r>
          </w:p>
        </w:tc>
      </w:tr>
      <w:tr>
        <w:trPr/>
        <w:tc>
          <w:tcPr>
            <w:tcW w:w="5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lineRule="auto" w:line="252" w:before="14" w:after="187"/>
              <w:jc w:val="left"/>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spacing w:lineRule="auto" w:line="273" w:before="0" w:after="187"/>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pPr>
      <w:bookmarkStart w:id="2" w:name="fly-ex99_1.htm"/>
      <w:bookmarkStart w:id="3" w:name="ksflyex99_1"/>
      <w:bookmarkEnd w:id="2"/>
      <w:bookmarkEnd w:id="3"/>
      <w:r>
        <w:rPr/>
        <w:drawing>
          <wp:inline distT="0" distB="0" distL="0" distR="0">
            <wp:extent cx="1704975" cy="885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04975" cy="885825"/>
                    </a:xfrm>
                    <a:prstGeom prst="rect">
                      <a:avLst/>
                    </a:prstGeom>
                  </pic:spPr>
                </pic:pic>
              </a:graphicData>
            </a:graphic>
          </wp:inline>
        </w:drawing>
      </w:r>
      <w:r>
        <w:br w:type="page"/>
      </w:r>
    </w:p>
    <w:p>
      <w:pPr>
        <w:pStyle w:val="TextBody"/>
        <w:bidi w:val="0"/>
        <w:spacing w:lineRule="auto" w:line="273"/>
        <w:jc w:val="center"/>
        <w:rPr/>
      </w:pPr>
      <w:r>
        <w:rPr/>
        <w:t> </w:t>
      </w:r>
    </w:p>
    <w:p>
      <w:pPr>
        <w:pStyle w:val="TextBody"/>
        <w:bidi w:val="0"/>
        <w:spacing w:lineRule="auto" w:line="319"/>
        <w:jc w:val="center"/>
        <w:rPr>
          <w:rFonts w:ascii="Arial Nova;sans-serif" w:hAnsi="Arial Nova;sans-serif"/>
          <w:b/>
          <w:color w:val="000000"/>
          <w:sz w:val="28"/>
        </w:rPr>
      </w:pPr>
      <w:r>
        <w:rPr>
          <w:rFonts w:ascii="Arial Nova;sans-serif" w:hAnsi="Arial Nova;sans-serif"/>
          <w:b/>
          <w:color w:val="000000"/>
          <w:sz w:val="28"/>
        </w:rPr>
        <w:t>Firefly Aerospace Announces Second Quarter 2026 Financial Results With Record Revenue Of $117.7 Million, Up 659% Year-Over-Year</w:t>
      </w:r>
    </w:p>
    <w:p>
      <w:pPr>
        <w:pStyle w:val="TextBody"/>
        <w:bidi w:val="0"/>
        <w:spacing w:lineRule="auto" w:line="319"/>
        <w:jc w:val="center"/>
        <w:rPr/>
      </w:pPr>
      <w:r>
        <w:rPr/>
        <w:t> </w:t>
      </w:r>
    </w:p>
    <w:p>
      <w:pPr>
        <w:pStyle w:val="TextBody"/>
        <w:bidi w:val="0"/>
        <w:spacing w:lineRule="auto" w:line="273"/>
        <w:jc w:val="center"/>
        <w:rPr>
          <w:rFonts w:ascii="Aptos;sans-serif" w:hAnsi="Aptos;sans-serif"/>
          <w:i/>
          <w:color w:val="000000"/>
          <w:sz w:val="24"/>
        </w:rPr>
      </w:pPr>
      <w:r>
        <w:rPr>
          <w:rFonts w:ascii="Aptos;sans-serif" w:hAnsi="Aptos;sans-serif"/>
          <w:i/>
          <w:color w:val="000000"/>
          <w:sz w:val="24"/>
        </w:rPr>
        <w:t>Won multiple contracts to support NASA's Moon Base program and acquired Space-ng to fuel autonomous space operations, while adding more national security wins and maturing our launch vehicle programs.</w:t>
      </w:r>
    </w:p>
    <w:p>
      <w:pPr>
        <w:pStyle w:val="TextBody"/>
        <w:bidi w:val="0"/>
        <w:spacing w:lineRule="auto" w:line="273"/>
        <w:jc w:val="center"/>
        <w:rPr/>
      </w:pPr>
      <w:r>
        <w:rPr/>
        <w:t> </w:t>
      </w:r>
    </w:p>
    <w:p>
      <w:pPr>
        <w:pStyle w:val="TextBody"/>
        <w:bidi w:val="0"/>
        <w:spacing w:lineRule="auto" w:line="273"/>
        <w:jc w:val="center"/>
        <w:rPr/>
      </w:pPr>
      <w:r>
        <w:rPr/>
        <w:drawing>
          <wp:inline distT="0" distB="0" distL="0" distR="0">
            <wp:extent cx="6172200" cy="4105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172200" cy="4105275"/>
                    </a:xfrm>
                    <a:prstGeom prst="rect">
                      <a:avLst/>
                    </a:prstGeom>
                  </pic:spPr>
                </pic:pic>
              </a:graphicData>
            </a:graphic>
          </wp:inline>
        </w:drawing>
      </w:r>
    </w:p>
    <w:p>
      <w:pPr>
        <w:pStyle w:val="TextBody"/>
        <w:bidi w:val="0"/>
        <w:spacing w:lineRule="auto" w:line="273"/>
        <w:jc w:val="center"/>
        <w:rPr>
          <w:rFonts w:ascii="Aptos;sans-serif" w:hAnsi="Aptos;sans-serif"/>
          <w:i/>
          <w:color w:val="000000"/>
          <w:sz w:val="24"/>
        </w:rPr>
      </w:pPr>
      <w:r>
        <w:rPr>
          <w:rFonts w:ascii="Aptos;sans-serif" w:hAnsi="Aptos;sans-serif"/>
          <w:i/>
          <w:color w:val="000000"/>
          <w:sz w:val="24"/>
        </w:rPr>
        <w:t>Launch and spacecraft vehicles in assembly at the Rocket Ranch, which supports ramped up capacity of carbon composite tanks and structures.</w:t>
      </w:r>
    </w:p>
    <w:p>
      <w:pPr>
        <w:pStyle w:val="TextBody"/>
        <w:bidi w:val="0"/>
        <w:spacing w:lineRule="auto" w:line="273"/>
        <w:jc w:val="center"/>
        <w:rPr/>
      </w:pPr>
      <w:r>
        <w:rPr/>
        <w:t> </w:t>
      </w:r>
    </w:p>
    <w:p>
      <w:pPr>
        <w:pStyle w:val="TextBody"/>
        <w:bidi w:val="0"/>
        <w:spacing w:lineRule="auto" w:line="319" w:before="0" w:after="160"/>
        <w:jc w:val="left"/>
        <w:rPr>
          <w:rFonts w:ascii="Times New Roman" w:hAnsi="Times New Roman"/>
          <w:sz w:val="20"/>
        </w:rPr>
      </w:pPr>
      <w:r>
        <w:rPr>
          <w:rFonts w:ascii="AvenirNext LT Pro Regular;sans-serif" w:hAnsi="AvenirNext LT Pro Regular;sans-serif"/>
          <w:b/>
          <w:color w:val="000000"/>
          <w:sz w:val="22"/>
        </w:rPr>
        <w:t>Cedar Park, Texas, August 11, 2026</w:t>
      </w:r>
      <w:r>
        <w:rPr>
          <w:rFonts w:ascii="Times New Roman" w:hAnsi="Times New Roman"/>
          <w:color w:val="000000"/>
          <w:sz w:val="20"/>
        </w:rPr>
        <w:t xml:space="preserve"> – </w:t>
      </w:r>
      <w:r>
        <w:rPr>
          <w:rFonts w:ascii="AvenirNext LT Pro Regular;sans-serif" w:hAnsi="AvenirNext LT Pro Regular;sans-serif"/>
          <w:color w:val="000000"/>
          <w:sz w:val="22"/>
        </w:rPr>
        <w:t>Firefly Aerospace (Nasdaq: FLY), a market leading space and defense technology company, today issued financial results for the second quarter ended June 30, 2026.</w:t>
      </w:r>
    </w:p>
    <w:p>
      <w:pPr>
        <w:pStyle w:val="TextBody"/>
        <w:bidi w:val="0"/>
        <w:spacing w:lineRule="auto" w:line="319" w:before="0" w:after="160"/>
        <w:jc w:val="left"/>
        <w:rPr>
          <w:rFonts w:ascii="AvenirNext LT Pro Regular;sans-serif" w:hAnsi="AvenirNext LT Pro Regular;sans-serif"/>
          <w:color w:val="000000"/>
          <w:sz w:val="22"/>
        </w:rPr>
      </w:pPr>
      <w:r>
        <w:rPr>
          <w:rFonts w:ascii="AvenirNext LT Pro Regular;sans-serif" w:hAnsi="AvenirNext LT Pro Regular;sans-serif"/>
          <w:color w:val="000000"/>
          <w:sz w:val="22"/>
        </w:rPr>
        <w:t>"Breaking the $100 million mark with another quarterly revenue record demonstrates Firefly's amplified growth. With more than a half dozen contract wins during the second quarter, we are matching execution to rocket, spacecraft, and software orders across our programs," said Jason Kim, CEO of Firefly Aerospace.</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drawing>
          <wp:inline distT="0" distB="0" distL="0" distR="0">
            <wp:extent cx="1704975" cy="8858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04975" cy="885825"/>
                    </a:xfrm>
                    <a:prstGeom prst="rect">
                      <a:avLst/>
                    </a:prstGeom>
                  </pic:spPr>
                </pic:pic>
              </a:graphicData>
            </a:graphic>
          </wp:inline>
        </w:drawing>
      </w:r>
    </w:p>
    <w:p>
      <w:pPr>
        <w:pStyle w:val="TextBody"/>
        <w:bidi w:val="0"/>
        <w:spacing w:lineRule="auto" w:line="273"/>
        <w:jc w:val="center"/>
        <w:rPr/>
      </w:pPr>
      <w:r>
        <w:rPr/>
        <w:t> </w:t>
      </w:r>
    </w:p>
    <w:p>
      <w:pPr>
        <w:pStyle w:val="TextBody"/>
        <w:bidi w:val="0"/>
        <w:spacing w:lineRule="auto" w:line="319" w:before="0" w:after="160"/>
        <w:jc w:val="left"/>
        <w:rPr>
          <w:rFonts w:ascii="Times New Roman" w:hAnsi="Times New Roman"/>
          <w:sz w:val="20"/>
        </w:rPr>
      </w:pPr>
      <w:r>
        <w:rPr>
          <w:rFonts w:ascii="AvenirNext LT Pro Regular;sans-serif" w:hAnsi="AvenirNext LT Pro Regular;sans-serif"/>
          <w:color w:val="000000"/>
          <w:sz w:val="22"/>
        </w:rPr>
        <w:t>"Firefly is leading the way in unlocking the lunar opportunity, with another two Moon missions added to our manifest during the second quarter," added Kim. "We're also going beyond the Moon to Mars as we support the cutting-edge SkyFall mission for NASA. Our recent campus expansion allows us to meet the growing demand behind both Blue Ghost and Elytra for exploration and national security missions, while also meeting the growing demand for orbital launch vehicles."</w:t>
        <w:br/>
      </w:r>
      <w:r>
        <w:rPr>
          <w:rFonts w:ascii="Times New Roman" w:hAnsi="Times New Roman"/>
          <w:color w:val="000000"/>
          <w:sz w:val="20"/>
        </w:rPr>
        <w:t> </w:t>
      </w:r>
    </w:p>
    <w:p>
      <w:pPr>
        <w:pStyle w:val="TextBody"/>
        <w:bidi w:val="0"/>
        <w:spacing w:lineRule="auto" w:line="319" w:before="0" w:after="160"/>
        <w:jc w:val="left"/>
        <w:rPr>
          <w:rFonts w:ascii="AvenirNext LT Pro Regular;sans-serif" w:hAnsi="AvenirNext LT Pro Regular;sans-serif"/>
          <w:b/>
          <w:color w:val="000000"/>
          <w:sz w:val="22"/>
        </w:rPr>
      </w:pPr>
      <w:r>
        <w:rPr>
          <w:rFonts w:ascii="AvenirNext LT Pro Regular;sans-serif" w:hAnsi="AvenirNext LT Pro Regular;sans-serif"/>
          <w:b/>
          <w:color w:val="000000"/>
          <w:sz w:val="22"/>
        </w:rPr>
        <w:t>Second Quarter 2026 Highlights</w:t>
      </w:r>
    </w:p>
    <w:p>
      <w:pPr>
        <w:pStyle w:val="TextBody"/>
        <w:bidi w:val="0"/>
        <w:spacing w:lineRule="auto" w:line="319" w:before="0" w:after="0"/>
        <w:ind w:left="360" w:right="0" w:hanging="0"/>
        <w:jc w:val="left"/>
        <w:rPr>
          <w:color w:val="000000"/>
        </w:rPr>
      </w:pPr>
      <w:r>
        <w:rPr>
          <w:color w:val="000000"/>
        </w:rPr>
        <w:t>•</w:t>
      </w:r>
    </w:p>
    <w:p>
      <w:pPr>
        <w:pStyle w:val="TextBody"/>
        <w:bidi w:val="0"/>
        <w:spacing w:lineRule="auto" w:line="319" w:before="0" w:after="0"/>
        <w:jc w:val="left"/>
        <w:rPr>
          <w:rFonts w:ascii="AvenirNext LT Pro Regular;sans-serif" w:hAnsi="AvenirNext LT Pro Regular;sans-serif"/>
          <w:color w:val="000000"/>
          <w:sz w:val="22"/>
        </w:rPr>
      </w:pPr>
      <w:r>
        <w:rPr>
          <w:rFonts w:ascii="AvenirNext LT Pro Regular;sans-serif" w:hAnsi="AvenirNext LT Pro Regular;sans-serif"/>
          <w:color w:val="000000"/>
          <w:sz w:val="22"/>
        </w:rPr>
        <w:t>Record revenue of $117.7 million, up 45.5% from the prior quarter.</w:t>
      </w:r>
    </w:p>
    <w:p>
      <w:pPr>
        <w:pStyle w:val="TextBody"/>
        <w:bidi w:val="0"/>
        <w:spacing w:lineRule="auto" w:line="319" w:before="0" w:after="0"/>
        <w:ind w:left="360" w:right="0" w:hanging="0"/>
        <w:jc w:val="left"/>
        <w:rPr>
          <w:color w:val="000000"/>
        </w:rPr>
      </w:pPr>
      <w:r>
        <w:rPr>
          <w:color w:val="000000"/>
        </w:rPr>
        <w:t>•</w:t>
      </w:r>
    </w:p>
    <w:p>
      <w:pPr>
        <w:pStyle w:val="TextBody"/>
        <w:bidi w:val="0"/>
        <w:spacing w:lineRule="auto" w:line="319" w:before="0" w:after="0"/>
        <w:jc w:val="left"/>
        <w:rPr/>
      </w:pPr>
      <w:r>
        <w:rPr>
          <w:rFonts w:ascii="AvenirNext LT Pro Regular;sans-serif" w:hAnsi="AvenirNext LT Pro Regular;sans-serif"/>
          <w:color w:val="000000"/>
          <w:sz w:val="22"/>
        </w:rPr>
        <w:t xml:space="preserve">Awarded a </w:t>
      </w:r>
      <w:r>
        <w:rPr>
          <w:rFonts w:ascii="AvenirNext LT Pro Regular;sans-serif" w:hAnsi="AvenirNext LT Pro Regular;sans-serif"/>
          <w:sz w:val="22"/>
        </w:rPr>
        <w:t>$144 million NASA Commercial Lunar Payload Services (CLPS) contract</w:t>
      </w:r>
      <w:r>
        <w:rPr>
          <w:color w:val="000000"/>
        </w:rPr>
        <w:t xml:space="preserve"> </w:t>
      </w:r>
      <w:r>
        <w:rPr>
          <w:rFonts w:ascii="AvenirNext LT Pro Regular;sans-serif" w:hAnsi="AvenirNext LT Pro Regular;sans-serif"/>
          <w:color w:val="000000"/>
          <w:sz w:val="22"/>
        </w:rPr>
        <w:t>for a rapid Blue Ghost lander mission to the Moon, Firefly's sixth contracted lunar mission to date.</w:t>
      </w:r>
    </w:p>
    <w:p>
      <w:pPr>
        <w:pStyle w:val="TextBody"/>
        <w:bidi w:val="0"/>
        <w:spacing w:lineRule="auto" w:line="319" w:before="0" w:after="0"/>
        <w:ind w:left="360" w:right="0" w:hanging="0"/>
        <w:jc w:val="left"/>
        <w:rPr>
          <w:color w:val="000000"/>
        </w:rPr>
      </w:pPr>
      <w:r>
        <w:rPr>
          <w:color w:val="000000"/>
        </w:rPr>
        <w:t>•</w:t>
      </w:r>
    </w:p>
    <w:p>
      <w:pPr>
        <w:pStyle w:val="TextBody"/>
        <w:bidi w:val="0"/>
        <w:spacing w:lineRule="auto" w:line="319" w:before="0" w:after="0"/>
        <w:jc w:val="left"/>
        <w:rPr/>
      </w:pPr>
      <w:r>
        <w:rPr>
          <w:rFonts w:ascii="AvenirNext LT Pro Regular;sans-serif" w:hAnsi="AvenirNext LT Pro Regular;sans-serif"/>
          <w:sz w:val="22"/>
        </w:rPr>
        <w:t>Acquired Space-ng</w:t>
      </w:r>
      <w:r>
        <w:rPr>
          <w:rFonts w:ascii="AvenirNext LT Pro Regular;sans-serif" w:hAnsi="AvenirNext LT Pro Regular;sans-serif"/>
          <w:color w:val="000000"/>
          <w:sz w:val="22"/>
        </w:rPr>
        <w:t>, a leader in AI-powered vision navigation and autonomous guidance systems, bringing proven spacecraft software and camera hardware for Firefly’s Blue Ghost landers and Elytra orbital vehicles, which bolsters Firefly’s capabilities to advance the future of autonomous space operations for missions to the Moon, Mars, and beyond.</w:t>
      </w:r>
    </w:p>
    <w:p>
      <w:pPr>
        <w:pStyle w:val="TextBody"/>
        <w:bidi w:val="0"/>
        <w:spacing w:lineRule="auto" w:line="319" w:before="0" w:after="0"/>
        <w:ind w:left="360" w:right="0" w:hanging="0"/>
        <w:jc w:val="left"/>
        <w:rPr>
          <w:color w:val="000000"/>
        </w:rPr>
      </w:pPr>
      <w:r>
        <w:rPr>
          <w:color w:val="000000"/>
        </w:rPr>
        <w:t>•</w:t>
      </w:r>
    </w:p>
    <w:p>
      <w:pPr>
        <w:pStyle w:val="TextBody"/>
        <w:bidi w:val="0"/>
        <w:spacing w:lineRule="auto" w:line="319" w:before="0" w:after="0"/>
        <w:jc w:val="left"/>
        <w:rPr/>
      </w:pPr>
      <w:r>
        <w:rPr>
          <w:rFonts w:ascii="AvenirNext LT Pro Regular;sans-serif" w:hAnsi="AvenirNext LT Pro Regular;sans-serif"/>
          <w:color w:val="000000"/>
          <w:sz w:val="22"/>
        </w:rPr>
        <w:t xml:space="preserve">Awarded an </w:t>
      </w:r>
      <w:r>
        <w:rPr>
          <w:rFonts w:ascii="AvenirNext LT Pro Regular;sans-serif" w:hAnsi="AvenirNext LT Pro Regular;sans-serif"/>
          <w:sz w:val="22"/>
        </w:rPr>
        <w:t>Air Force Research Laboratory (AFRL) contract</w:t>
      </w:r>
      <w:r>
        <w:rPr>
          <w:color w:val="000000"/>
        </w:rPr>
        <w:t xml:space="preserve"> </w:t>
      </w:r>
      <w:r>
        <w:rPr>
          <w:rFonts w:ascii="AvenirNext LT Pro Regular;sans-serif" w:hAnsi="AvenirNext LT Pro Regular;sans-serif"/>
          <w:color w:val="000000"/>
          <w:sz w:val="22"/>
        </w:rPr>
        <w:t>for SciTec to support development of the Advanced Algorithm R&amp;D and Verification Architecture by implementing deep learning and advanced algorithms on small Size, Weight and Power (SWaP) processors to support enhanced target detection, tracking, and custody.</w:t>
      </w:r>
    </w:p>
    <w:p>
      <w:pPr>
        <w:pStyle w:val="TextBody"/>
        <w:bidi w:val="0"/>
        <w:spacing w:lineRule="auto" w:line="319" w:before="0" w:after="0"/>
        <w:ind w:left="360" w:right="0" w:hanging="0"/>
        <w:jc w:val="left"/>
        <w:rPr>
          <w:color w:val="000000"/>
        </w:rPr>
      </w:pPr>
      <w:r>
        <w:rPr>
          <w:color w:val="000000"/>
        </w:rPr>
        <w:t>•</w:t>
      </w:r>
    </w:p>
    <w:p>
      <w:pPr>
        <w:pStyle w:val="TextBody"/>
        <w:bidi w:val="0"/>
        <w:spacing w:lineRule="auto" w:line="319" w:before="0" w:after="0"/>
        <w:jc w:val="left"/>
        <w:rPr/>
      </w:pPr>
      <w:r>
        <w:rPr>
          <w:rFonts w:ascii="AvenirNext LT Pro Regular;sans-serif" w:hAnsi="AvenirNext LT Pro Regular;sans-serif"/>
          <w:color w:val="000000"/>
          <w:sz w:val="22"/>
        </w:rPr>
        <w:t xml:space="preserve">Announced </w:t>
      </w:r>
      <w:r>
        <w:rPr>
          <w:rFonts w:ascii="AvenirNext LT Pro Regular;sans-serif" w:hAnsi="AvenirNext LT Pro Regular;sans-serif"/>
          <w:sz w:val="22"/>
        </w:rPr>
        <w:t>collaboration with NVIDIA</w:t>
      </w:r>
      <w:r>
        <w:rPr>
          <w:color w:val="000000"/>
        </w:rPr>
        <w:t xml:space="preserve"> </w:t>
      </w:r>
      <w:r>
        <w:rPr>
          <w:rFonts w:ascii="AvenirNext LT Pro Regular;sans-serif" w:hAnsi="AvenirNext LT Pro Regular;sans-serif"/>
          <w:color w:val="000000"/>
          <w:sz w:val="22"/>
        </w:rPr>
        <w:t xml:space="preserve">to enable rapid on-orbit processing in lunar orbit for Firefly’s Ocula Moon imaging service, utilizing an NVIDIA Jetson module combined with Firefly’s AI software on Elytra to rapidly process data on-orbit. </w:t>
      </w:r>
    </w:p>
    <w:p>
      <w:pPr>
        <w:pStyle w:val="TextBody"/>
        <w:bidi w:val="0"/>
        <w:spacing w:lineRule="auto" w:line="319" w:before="0" w:after="0"/>
        <w:ind w:left="360" w:right="0" w:hanging="0"/>
        <w:jc w:val="left"/>
        <w:rPr>
          <w:color w:val="000000"/>
        </w:rPr>
      </w:pPr>
      <w:r>
        <w:rPr>
          <w:color w:val="000000"/>
        </w:rPr>
        <w:t>•</w:t>
      </w:r>
    </w:p>
    <w:p>
      <w:pPr>
        <w:pStyle w:val="TextBody"/>
        <w:bidi w:val="0"/>
        <w:spacing w:lineRule="auto" w:line="319" w:before="0" w:after="0"/>
        <w:jc w:val="left"/>
        <w:rPr/>
      </w:pPr>
      <w:r>
        <w:rPr>
          <w:rFonts w:ascii="AvenirNext LT Pro Regular;sans-serif" w:hAnsi="AvenirNext LT Pro Regular;sans-serif"/>
          <w:color w:val="000000"/>
          <w:sz w:val="22"/>
        </w:rPr>
        <w:t xml:space="preserve">Awarded </w:t>
      </w:r>
      <w:r>
        <w:rPr>
          <w:rFonts w:ascii="AvenirNext LT Pro Regular;sans-serif" w:hAnsi="AvenirNext LT Pro Regular;sans-serif"/>
          <w:sz w:val="22"/>
        </w:rPr>
        <w:t>a $75 million subcontract from NASA's Jet Propulsion Laboratory (JPL) to support NASA's MoonFall mission, utilizing an Elytra spacecraft to deliver four drones to the Moon’s south pole that's targeted to launch no earlier than 2028 in support of NASA's Moon Base initiative.</w:t>
      </w:r>
    </w:p>
    <w:p>
      <w:pPr>
        <w:pStyle w:val="TextBody"/>
        <w:bidi w:val="0"/>
        <w:spacing w:lineRule="auto" w:line="319" w:before="0" w:after="0"/>
        <w:ind w:left="360" w:right="0" w:hanging="0"/>
        <w:jc w:val="left"/>
        <w:rPr>
          <w:color w:val="000000"/>
        </w:rPr>
      </w:pPr>
      <w:r>
        <w:rPr>
          <w:color w:val="000000"/>
        </w:rPr>
        <w:t>•</w:t>
      </w:r>
    </w:p>
    <w:p>
      <w:pPr>
        <w:pStyle w:val="TextBody"/>
        <w:bidi w:val="0"/>
        <w:spacing w:lineRule="auto" w:line="319" w:before="0" w:after="0"/>
        <w:jc w:val="left"/>
        <w:rPr/>
      </w:pPr>
      <w:r>
        <w:rPr>
          <w:rFonts w:ascii="AvenirNext LT Pro Regular;sans-serif" w:hAnsi="AvenirNext LT Pro Regular;sans-serif"/>
          <w:color w:val="000000"/>
          <w:sz w:val="22"/>
        </w:rPr>
        <w:t xml:space="preserve">Completed the Critical Design Review for Blue Ghost's </w:t>
      </w:r>
      <w:r>
        <w:rPr>
          <w:rFonts w:ascii="AvenirNext LT Pro Regular;sans-serif" w:hAnsi="AvenirNext LT Pro Regular;sans-serif"/>
          <w:sz w:val="22"/>
        </w:rPr>
        <w:t>Gruithuisen Domes</w:t>
      </w:r>
      <w:r>
        <w:rPr>
          <w:color w:val="000000"/>
        </w:rPr>
        <w:t xml:space="preserve"> </w:t>
      </w:r>
      <w:r>
        <w:rPr>
          <w:rFonts w:ascii="AvenirNext LT Pro Regular;sans-serif" w:hAnsi="AvenirNext LT Pro Regular;sans-serif"/>
          <w:color w:val="000000"/>
          <w:sz w:val="22"/>
        </w:rPr>
        <w:t>mission, progressing development of the spacecraft.</w:t>
      </w:r>
    </w:p>
    <w:p>
      <w:pPr>
        <w:pStyle w:val="TextBody"/>
        <w:bidi w:val="0"/>
        <w:spacing w:lineRule="auto" w:line="319" w:before="0" w:after="0"/>
        <w:ind w:left="360" w:right="0" w:hanging="0"/>
        <w:jc w:val="left"/>
        <w:rPr>
          <w:color w:val="000000"/>
        </w:rPr>
      </w:pPr>
      <w:r>
        <w:rPr>
          <w:color w:val="000000"/>
        </w:rPr>
        <w:t>•</w:t>
      </w:r>
    </w:p>
    <w:p>
      <w:pPr>
        <w:pStyle w:val="TextBody"/>
        <w:bidi w:val="0"/>
        <w:spacing w:lineRule="auto" w:line="319" w:before="0" w:after="0"/>
        <w:jc w:val="left"/>
        <w:rPr/>
      </w:pPr>
      <w:r>
        <w:rPr>
          <w:rFonts w:ascii="AvenirNext LT Pro Regular;sans-serif" w:hAnsi="AvenirNext LT Pro Regular;sans-serif"/>
          <w:color w:val="000000"/>
          <w:sz w:val="22"/>
        </w:rPr>
        <w:t xml:space="preserve">Completed the Preliminary Design Review for Blue Ghost's </w:t>
      </w:r>
      <w:r>
        <w:rPr>
          <w:rFonts w:ascii="AvenirNext LT Pro Regular;sans-serif" w:hAnsi="AvenirNext LT Pro Regular;sans-serif"/>
          <w:sz w:val="22"/>
        </w:rPr>
        <w:t>South Pole</w:t>
      </w:r>
      <w:r>
        <w:rPr>
          <w:color w:val="000000"/>
        </w:rPr>
        <w:t xml:space="preserve"> </w:t>
      </w:r>
      <w:r>
        <w:rPr>
          <w:rFonts w:ascii="AvenirNext LT Pro Regular;sans-serif" w:hAnsi="AvenirNext LT Pro Regular;sans-serif"/>
          <w:color w:val="000000"/>
          <w:sz w:val="22"/>
        </w:rPr>
        <w:t>mission, verifying the vehicle's design before production begins.</w:t>
      </w:r>
    </w:p>
    <w:p>
      <w:pPr>
        <w:pStyle w:val="TextBody"/>
        <w:bidi w:val="0"/>
        <w:spacing w:lineRule="auto" w:line="319" w:before="0" w:after="160"/>
        <w:ind w:left="360" w:right="0" w:hanging="0"/>
        <w:jc w:val="left"/>
        <w:rPr>
          <w:color w:val="000000"/>
        </w:rPr>
      </w:pPr>
      <w:r>
        <w:rPr>
          <w:color w:val="000000"/>
        </w:rPr>
        <w:t>•</w:t>
      </w:r>
    </w:p>
    <w:p>
      <w:pPr>
        <w:pStyle w:val="TextBody"/>
        <w:bidi w:val="0"/>
        <w:spacing w:lineRule="auto" w:line="319" w:before="0" w:after="160"/>
        <w:jc w:val="left"/>
        <w:rPr/>
      </w:pPr>
      <w:r>
        <w:rPr>
          <w:rFonts w:ascii="AvenirNext LT Pro Regular;sans-serif" w:hAnsi="AvenirNext LT Pro Regular;sans-serif"/>
          <w:color w:val="000000"/>
          <w:sz w:val="22"/>
        </w:rPr>
        <w:t xml:space="preserve">Awarded </w:t>
      </w:r>
      <w:r>
        <w:rPr>
          <w:rFonts w:ascii="AvenirNext LT Pro Regular;sans-serif" w:hAnsi="AvenirNext LT Pro Regular;sans-serif"/>
          <w:sz w:val="22"/>
        </w:rPr>
        <w:t>U.S. Air Force contract option</w:t>
      </w:r>
      <w:r>
        <w:rPr>
          <w:color w:val="000000"/>
        </w:rPr>
        <w:t xml:space="preserve"> </w:t>
      </w:r>
      <w:r>
        <w:rPr>
          <w:rFonts w:ascii="AvenirNext LT Pro Regular;sans-serif" w:hAnsi="AvenirNext LT Pro Regular;sans-serif"/>
          <w:color w:val="000000"/>
          <w:sz w:val="22"/>
        </w:rPr>
        <w:t>worth $5.5 million for SciTec to deliver the operational data fusion system for the Cloud-Based Command and Control (CBC2) program, having participated in a multi-year competition wherein SciTec’s data fusion system was evaluated and selected from among multiple industry and government-owned alternatives.</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drawing>
          <wp:inline distT="0" distB="0" distL="0" distR="0">
            <wp:extent cx="1704975" cy="8858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04975" cy="885825"/>
                    </a:xfrm>
                    <a:prstGeom prst="rect">
                      <a:avLst/>
                    </a:prstGeom>
                  </pic:spPr>
                </pic:pic>
              </a:graphicData>
            </a:graphic>
          </wp:inline>
        </w:drawing>
      </w:r>
    </w:p>
    <w:p>
      <w:pPr>
        <w:pStyle w:val="TextBody"/>
        <w:bidi w:val="0"/>
        <w:spacing w:lineRule="auto" w:line="273"/>
        <w:jc w:val="center"/>
        <w:rPr/>
      </w:pPr>
      <w:r>
        <w:rPr/>
        <w:t> </w:t>
      </w:r>
    </w:p>
    <w:p>
      <w:pPr>
        <w:pStyle w:val="TextBody"/>
        <w:bidi w:val="0"/>
        <w:spacing w:lineRule="auto" w:line="319" w:before="0" w:after="0"/>
        <w:ind w:left="360" w:right="0" w:hanging="0"/>
        <w:jc w:val="left"/>
        <w:rPr>
          <w:color w:val="000000"/>
        </w:rPr>
      </w:pPr>
      <w:r>
        <w:rPr>
          <w:color w:val="000000"/>
        </w:rPr>
        <w:t>•</w:t>
      </w:r>
    </w:p>
    <w:p>
      <w:pPr>
        <w:pStyle w:val="TextBody"/>
        <w:bidi w:val="0"/>
        <w:spacing w:lineRule="auto" w:line="319" w:before="0" w:after="0"/>
        <w:jc w:val="left"/>
        <w:rPr/>
      </w:pPr>
      <w:r>
        <w:rPr>
          <w:rFonts w:ascii="AvenirNext LT Pro Regular;sans-serif" w:hAnsi="AvenirNext LT Pro Regular;sans-serif"/>
          <w:color w:val="000000"/>
          <w:sz w:val="22"/>
        </w:rPr>
        <w:t xml:space="preserve">Completed critical milestones toward </w:t>
      </w:r>
      <w:r>
        <w:rPr>
          <w:rFonts w:ascii="AvenirNext LT Pro Regular;sans-serif" w:hAnsi="AvenirNext LT Pro Regular;sans-serif"/>
          <w:sz w:val="22"/>
        </w:rPr>
        <w:t>Alpha launching from Sweden's Esrange Space Center</w:t>
      </w:r>
      <w:r>
        <w:rPr>
          <w:rFonts w:ascii="AvenirNext LT Pro Regular;sans-serif" w:hAnsi="AvenirNext LT Pro Regular;sans-serif"/>
          <w:color w:val="000000"/>
          <w:sz w:val="22"/>
        </w:rPr>
        <w:t>, including building initial infrastructure, establishing transatlantic regulatory frameworks, and securing an agreement with the Swedish Defense Materiel Administration.</w:t>
      </w:r>
    </w:p>
    <w:p>
      <w:pPr>
        <w:pStyle w:val="TextBody"/>
        <w:bidi w:val="0"/>
        <w:spacing w:lineRule="auto" w:line="319" w:before="0" w:after="0"/>
        <w:ind w:left="360" w:right="0" w:hanging="0"/>
        <w:jc w:val="left"/>
        <w:rPr>
          <w:color w:val="000000"/>
        </w:rPr>
      </w:pPr>
      <w:r>
        <w:rPr>
          <w:color w:val="000000"/>
        </w:rPr>
        <w:t>•</w:t>
      </w:r>
    </w:p>
    <w:p>
      <w:pPr>
        <w:pStyle w:val="TextBody"/>
        <w:bidi w:val="0"/>
        <w:spacing w:lineRule="auto" w:line="319" w:before="0" w:after="0"/>
        <w:jc w:val="left"/>
        <w:rPr/>
      </w:pPr>
      <w:r>
        <w:rPr>
          <w:rFonts w:ascii="AvenirNext LT Pro Regular;sans-serif" w:hAnsi="AvenirNext LT Pro Regular;sans-serif"/>
          <w:color w:val="000000"/>
          <w:sz w:val="22"/>
        </w:rPr>
        <w:t xml:space="preserve">Signed agreement with </w:t>
      </w:r>
      <w:r>
        <w:rPr>
          <w:rFonts w:ascii="AvenirNext LT Pro Regular;sans-serif" w:hAnsi="AvenirNext LT Pro Regular;sans-serif"/>
          <w:sz w:val="22"/>
        </w:rPr>
        <w:t>Seagate Space</w:t>
      </w:r>
      <w:r>
        <w:rPr>
          <w:color w:val="000000"/>
        </w:rPr>
        <w:t xml:space="preserve"> </w:t>
      </w:r>
      <w:r>
        <w:rPr>
          <w:rFonts w:ascii="AvenirNext LT Pro Regular;sans-serif" w:hAnsi="AvenirNext LT Pro Regular;sans-serif"/>
          <w:color w:val="000000"/>
          <w:sz w:val="22"/>
        </w:rPr>
        <w:t>to collaborate on the development of an offshore launch platform that enables responsive sea-based Alpha launches.</w:t>
      </w:r>
    </w:p>
    <w:p>
      <w:pPr>
        <w:pStyle w:val="TextBody"/>
        <w:bidi w:val="0"/>
        <w:spacing w:lineRule="auto" w:line="319" w:before="0" w:after="0"/>
        <w:ind w:left="360" w:right="0" w:hanging="0"/>
        <w:jc w:val="left"/>
        <w:rPr>
          <w:color w:val="000000"/>
        </w:rPr>
      </w:pPr>
      <w:r>
        <w:rPr>
          <w:color w:val="000000"/>
        </w:rPr>
        <w:t>•</w:t>
      </w:r>
    </w:p>
    <w:p>
      <w:pPr>
        <w:pStyle w:val="TextBody"/>
        <w:bidi w:val="0"/>
        <w:spacing w:lineRule="auto" w:line="319" w:before="0" w:after="0"/>
        <w:jc w:val="left"/>
        <w:rPr/>
      </w:pPr>
      <w:r>
        <w:rPr>
          <w:rFonts w:ascii="AvenirNext LT Pro Regular;sans-serif" w:hAnsi="AvenirNext LT Pro Regular;sans-serif"/>
          <w:color w:val="000000"/>
          <w:sz w:val="22"/>
        </w:rPr>
        <w:t xml:space="preserve">Completed underwritten </w:t>
      </w:r>
      <w:r>
        <w:rPr>
          <w:rFonts w:ascii="AvenirNext LT Pro Regular;sans-serif" w:hAnsi="AvenirNext LT Pro Regular;sans-serif"/>
          <w:sz w:val="22"/>
        </w:rPr>
        <w:t>public offering of common stock</w:t>
      </w:r>
      <w:r>
        <w:rPr>
          <w:color w:val="000000"/>
        </w:rPr>
        <w:t xml:space="preserve"> </w:t>
      </w:r>
      <w:r>
        <w:rPr>
          <w:rFonts w:ascii="AvenirNext LT Pro Regular;sans-serif" w:hAnsi="AvenirNext LT Pro Regular;sans-serif"/>
          <w:color w:val="000000"/>
          <w:sz w:val="22"/>
        </w:rPr>
        <w:t>generating net proceeds of $181.6 million, to use for expanding core business growth and execution of recently awarded contracts.</w:t>
      </w:r>
    </w:p>
    <w:p>
      <w:pPr>
        <w:pStyle w:val="TextBody"/>
        <w:bidi w:val="0"/>
        <w:spacing w:lineRule="auto" w:line="319" w:before="0" w:after="0"/>
        <w:ind w:left="360" w:right="0" w:hanging="0"/>
        <w:jc w:val="left"/>
        <w:rPr>
          <w:color w:val="000000"/>
        </w:rPr>
      </w:pPr>
      <w:r>
        <w:rPr>
          <w:color w:val="000000"/>
        </w:rPr>
        <w:t>•</w:t>
      </w:r>
    </w:p>
    <w:p>
      <w:pPr>
        <w:pStyle w:val="TextBody"/>
        <w:bidi w:val="0"/>
        <w:spacing w:lineRule="auto" w:line="319"/>
        <w:jc w:val="left"/>
        <w:rPr/>
      </w:pPr>
      <w:r>
        <w:rPr>
          <w:rFonts w:ascii="AvenirNext LT Pro Regular;sans-serif" w:hAnsi="AvenirNext LT Pro Regular;sans-serif"/>
          <w:sz w:val="22"/>
        </w:rPr>
        <w:t>Expanded campus</w:t>
      </w:r>
      <w:r>
        <w:rPr>
          <w:color w:val="000000"/>
        </w:rPr>
        <w:t xml:space="preserve"> </w:t>
      </w:r>
      <w:r>
        <w:rPr>
          <w:rFonts w:ascii="AvenirNext LT Pro Regular;sans-serif" w:hAnsi="AvenirNext LT Pro Regular;sans-serif"/>
          <w:color w:val="000000"/>
          <w:sz w:val="22"/>
        </w:rPr>
        <w:t>with a new headquarters, more than quadrupled spacecraft cleanroom space, added a wing of on-site workstations to support Alpha and Eclipse manufacturing, and established a new Gloworks innovation lab to support accelerated spacecraft production and rapid research and development.</w:t>
      </w:r>
    </w:p>
    <w:p>
      <w:pPr>
        <w:pStyle w:val="TextBody"/>
        <w:bidi w:val="0"/>
        <w:spacing w:lineRule="auto" w:line="319" w:before="0" w:after="160"/>
        <w:jc w:val="left"/>
        <w:rPr>
          <w:rFonts w:ascii="AvenirNext LT Pro Regular;sans-serif" w:hAnsi="AvenirNext LT Pro Regular;sans-serif"/>
          <w:b/>
          <w:color w:val="000000"/>
          <w:sz w:val="22"/>
        </w:rPr>
      </w:pPr>
      <w:r>
        <w:rPr>
          <w:rFonts w:ascii="AvenirNext LT Pro Regular;sans-serif" w:hAnsi="AvenirNext LT Pro Regular;sans-serif"/>
          <w:b/>
          <w:color w:val="000000"/>
          <w:sz w:val="22"/>
        </w:rPr>
        <w:t>Additional Recent Highlights</w:t>
      </w:r>
    </w:p>
    <w:p>
      <w:pPr>
        <w:pStyle w:val="TextBody"/>
        <w:bidi w:val="0"/>
        <w:spacing w:lineRule="auto" w:line="319" w:before="0" w:after="0"/>
        <w:ind w:left="360" w:right="0" w:hanging="0"/>
        <w:jc w:val="left"/>
        <w:rPr>
          <w:color w:val="000000"/>
        </w:rPr>
      </w:pPr>
      <w:r>
        <w:rPr>
          <w:color w:val="000000"/>
        </w:rPr>
        <w:t>•</w:t>
      </w:r>
    </w:p>
    <w:p>
      <w:pPr>
        <w:pStyle w:val="TextBody"/>
        <w:bidi w:val="0"/>
        <w:spacing w:lineRule="auto" w:line="319" w:before="0" w:after="0"/>
        <w:jc w:val="left"/>
        <w:rPr/>
      </w:pPr>
      <w:r>
        <w:rPr>
          <w:rFonts w:ascii="AvenirNext LT Pro Regular;sans-serif" w:hAnsi="AvenirNext LT Pro Regular;sans-serif"/>
          <w:color w:val="000000"/>
          <w:sz w:val="22"/>
        </w:rPr>
        <w:t xml:space="preserve">Awarded Firefly's first Mars mission, with a $13 million subcontract to </w:t>
      </w:r>
      <w:r>
        <w:rPr>
          <w:rFonts w:ascii="AvenirNext LT Pro Regular;sans-serif" w:hAnsi="AvenirNext LT Pro Regular;sans-serif"/>
          <w:sz w:val="22"/>
        </w:rPr>
        <w:t>support the SkyFall mission</w:t>
      </w:r>
      <w:r>
        <w:rPr>
          <w:color w:val="000000"/>
        </w:rPr>
        <w:t xml:space="preserve"> </w:t>
      </w:r>
      <w:r>
        <w:rPr>
          <w:rFonts w:ascii="AvenirNext LT Pro Regular;sans-serif" w:hAnsi="AvenirNext LT Pro Regular;sans-serif"/>
          <w:color w:val="000000"/>
          <w:sz w:val="22"/>
        </w:rPr>
        <w:t>for NASA JPL, to manufacture, test, and deliver the aeroshell for launch in late 2028, developed by Firefly's Gloworks innovation lab.</w:t>
      </w:r>
    </w:p>
    <w:p>
      <w:pPr>
        <w:pStyle w:val="TextBody"/>
        <w:bidi w:val="0"/>
        <w:spacing w:lineRule="auto" w:line="319" w:before="0" w:after="0"/>
        <w:ind w:left="360" w:right="0" w:hanging="0"/>
        <w:jc w:val="left"/>
        <w:rPr>
          <w:color w:val="000000"/>
        </w:rPr>
      </w:pPr>
      <w:r>
        <w:rPr>
          <w:color w:val="000000"/>
        </w:rPr>
        <w:t>•</w:t>
      </w:r>
    </w:p>
    <w:p>
      <w:pPr>
        <w:pStyle w:val="TextBody"/>
        <w:bidi w:val="0"/>
        <w:spacing w:lineRule="auto" w:line="319" w:before="0" w:after="0"/>
        <w:jc w:val="left"/>
        <w:rPr/>
      </w:pPr>
      <w:r>
        <w:rPr>
          <w:rFonts w:ascii="AvenirNext LT Pro Regular;sans-serif" w:hAnsi="AvenirNext LT Pro Regular;sans-serif"/>
          <w:color w:val="000000"/>
          <w:sz w:val="22"/>
        </w:rPr>
        <w:t xml:space="preserve">Awarded a $94 million Space Force contract under the </w:t>
      </w:r>
      <w:r>
        <w:rPr>
          <w:rFonts w:ascii="AvenirNext LT Pro Regular;sans-serif" w:hAnsi="AvenirNext LT Pro Regular;sans-serif"/>
          <w:sz w:val="22"/>
        </w:rPr>
        <w:t>Ground-Based Radar Digitization program</w:t>
      </w:r>
      <w:r>
        <w:rPr>
          <w:rFonts w:ascii="AvenirNext LT Pro Regular;sans-serif" w:hAnsi="AvenirNext LT Pro Regular;sans-serif"/>
          <w:color w:val="000000"/>
          <w:sz w:val="22"/>
        </w:rPr>
        <w:t>, to support work overhauling legacy defense systems.</w:t>
      </w:r>
    </w:p>
    <w:p>
      <w:pPr>
        <w:pStyle w:val="TextBody"/>
        <w:bidi w:val="0"/>
        <w:spacing w:lineRule="auto" w:line="319" w:before="0" w:after="0"/>
        <w:ind w:left="360" w:right="0" w:hanging="0"/>
        <w:jc w:val="left"/>
        <w:rPr>
          <w:color w:val="000000"/>
        </w:rPr>
      </w:pPr>
      <w:r>
        <w:rPr>
          <w:color w:val="000000"/>
        </w:rPr>
        <w:t>•</w:t>
      </w:r>
    </w:p>
    <w:p>
      <w:pPr>
        <w:pStyle w:val="TextBody"/>
        <w:bidi w:val="0"/>
        <w:spacing w:lineRule="auto" w:line="319" w:before="0" w:after="0"/>
        <w:jc w:val="left"/>
        <w:rPr/>
      </w:pPr>
      <w:r>
        <w:rPr>
          <w:rFonts w:ascii="AvenirNext LT Pro Regular;sans-serif" w:hAnsi="AvenirNext LT Pro Regular;sans-serif"/>
          <w:color w:val="000000"/>
          <w:sz w:val="22"/>
        </w:rPr>
        <w:t xml:space="preserve">Signed an extension to </w:t>
      </w:r>
      <w:r>
        <w:rPr>
          <w:rFonts w:ascii="AvenirNext LT Pro Regular;sans-serif" w:hAnsi="AvenirNext LT Pro Regular;sans-serif"/>
          <w:sz w:val="22"/>
        </w:rPr>
        <w:t>Lockheed Martin's multi-launch agreement</w:t>
      </w:r>
      <w:r>
        <w:rPr>
          <w:color w:val="000000"/>
        </w:rPr>
        <w:t xml:space="preserve"> </w:t>
      </w:r>
      <w:r>
        <w:rPr>
          <w:rFonts w:ascii="AvenirNext LT Pro Regular;sans-serif" w:hAnsi="AvenirNext LT Pro Regular;sans-serif"/>
          <w:color w:val="000000"/>
          <w:sz w:val="22"/>
        </w:rPr>
        <w:t>for Alpha flights for up to 25 launches through 2031 using the Block II configuration.</w:t>
      </w:r>
    </w:p>
    <w:p>
      <w:pPr>
        <w:pStyle w:val="TextBody"/>
        <w:bidi w:val="0"/>
        <w:spacing w:lineRule="auto" w:line="319" w:before="0" w:after="0"/>
        <w:ind w:left="360" w:right="0" w:hanging="0"/>
        <w:jc w:val="left"/>
        <w:rPr>
          <w:color w:val="000000"/>
        </w:rPr>
      </w:pPr>
      <w:r>
        <w:rPr>
          <w:color w:val="000000"/>
        </w:rPr>
        <w:t>•</w:t>
      </w:r>
    </w:p>
    <w:p>
      <w:pPr>
        <w:pStyle w:val="TextBody"/>
        <w:bidi w:val="0"/>
        <w:spacing w:lineRule="auto" w:line="319" w:before="0" w:after="0"/>
        <w:jc w:val="left"/>
        <w:rPr>
          <w:rFonts w:ascii="AvenirNext LT Pro Regular;sans-serif" w:hAnsi="AvenirNext LT Pro Regular;sans-serif"/>
          <w:color w:val="000000"/>
          <w:sz w:val="22"/>
        </w:rPr>
      </w:pPr>
      <w:r>
        <w:rPr>
          <w:rFonts w:ascii="AvenirNext LT Pro Regular;sans-serif" w:hAnsi="AvenirNext LT Pro Regular;sans-serif"/>
          <w:color w:val="000000"/>
          <w:sz w:val="22"/>
        </w:rPr>
        <w:t>Crossed 150 hot fire tests to date of Eclipse's Miranda engine, including a flight-like Mission Duty Cycle test that fired for 226 seconds while completing power ratio and mixture ratio sweeps.</w:t>
      </w:r>
    </w:p>
    <w:p>
      <w:pPr>
        <w:pStyle w:val="TextBody"/>
        <w:bidi w:val="0"/>
        <w:spacing w:lineRule="auto" w:line="319" w:before="0" w:after="0"/>
        <w:ind w:left="360" w:right="0" w:hanging="0"/>
        <w:jc w:val="left"/>
        <w:rPr>
          <w:color w:val="000000"/>
        </w:rPr>
      </w:pPr>
      <w:r>
        <w:rPr>
          <w:color w:val="000000"/>
        </w:rPr>
        <w:t>•</w:t>
      </w:r>
    </w:p>
    <w:p>
      <w:pPr>
        <w:pStyle w:val="TextBody"/>
        <w:bidi w:val="0"/>
        <w:spacing w:lineRule="auto" w:line="319" w:before="0" w:after="0"/>
        <w:jc w:val="left"/>
        <w:rPr>
          <w:rFonts w:ascii="AvenirNext LT Pro Regular;sans-serif" w:hAnsi="AvenirNext LT Pro Regular;sans-serif"/>
          <w:color w:val="000000"/>
          <w:sz w:val="22"/>
        </w:rPr>
      </w:pPr>
      <w:r>
        <w:rPr>
          <w:rFonts w:ascii="AvenirNext LT Pro Regular;sans-serif" w:hAnsi="AvenirNext LT Pro Regular;sans-serif"/>
          <w:color w:val="000000"/>
          <w:sz w:val="22"/>
        </w:rPr>
        <w:t>Awarded a second hypersonic task order for Alpha from a confidential customer.</w:t>
      </w:r>
    </w:p>
    <w:p>
      <w:pPr>
        <w:pStyle w:val="TextBody"/>
        <w:bidi w:val="0"/>
        <w:spacing w:lineRule="auto" w:line="319" w:before="0" w:after="0"/>
        <w:ind w:left="360" w:right="0" w:hanging="0"/>
        <w:jc w:val="left"/>
        <w:rPr>
          <w:color w:val="000000"/>
        </w:rPr>
      </w:pPr>
      <w:r>
        <w:rPr>
          <w:color w:val="000000"/>
        </w:rPr>
        <w:t>•</w:t>
      </w:r>
    </w:p>
    <w:p>
      <w:pPr>
        <w:pStyle w:val="TextBody"/>
        <w:bidi w:val="0"/>
        <w:spacing w:lineRule="auto" w:line="319"/>
        <w:jc w:val="left"/>
        <w:rPr/>
      </w:pPr>
      <w:r>
        <w:rPr>
          <w:rFonts w:ascii="AvenirNext LT Pro Regular;sans-serif" w:hAnsi="AvenirNext LT Pro Regular;sans-serif"/>
          <w:color w:val="000000"/>
          <w:sz w:val="22"/>
        </w:rPr>
        <w:t xml:space="preserve">Onboarded to the $981 million </w:t>
      </w:r>
      <w:r>
        <w:rPr>
          <w:rFonts w:ascii="AvenirNext LT Pro Regular;sans-serif" w:hAnsi="AvenirNext LT Pro Regular;sans-serif"/>
          <w:sz w:val="22"/>
        </w:rPr>
        <w:t>Space Force IDIQ contract for NITE-STAR</w:t>
      </w:r>
      <w:r>
        <w:rPr>
          <w:color w:val="000000"/>
        </w:rPr>
        <w:t xml:space="preserve"> – </w:t>
      </w:r>
      <w:r>
        <w:rPr>
          <w:rFonts w:ascii="AvenirNext LT Pro Regular;sans-serif" w:hAnsi="AvenirNext LT Pro Regular;sans-serif"/>
          <w:color w:val="000000"/>
          <w:sz w:val="22"/>
        </w:rPr>
        <w:t xml:space="preserve">the National Space Test and Training Complex Innovative Technology and Engineering - Space Test and Range Capability Development, to compete for task orders to support advanced test and training operations through 2032. </w:t>
      </w:r>
    </w:p>
    <w:p>
      <w:pPr>
        <w:pStyle w:val="TextBody"/>
        <w:bidi w:val="0"/>
        <w:spacing w:lineRule="auto" w:line="319" w:before="0" w:after="160"/>
        <w:jc w:val="left"/>
        <w:rPr>
          <w:rFonts w:ascii="AvenirNext LT Pro Regular;sans-serif" w:hAnsi="AvenirNext LT Pro Regular;sans-serif"/>
          <w:b/>
          <w:color w:val="000000"/>
          <w:sz w:val="22"/>
        </w:rPr>
      </w:pPr>
      <w:r>
        <w:rPr>
          <w:rFonts w:ascii="AvenirNext LT Pro Regular;sans-serif" w:hAnsi="AvenirNext LT Pro Regular;sans-serif"/>
          <w:b/>
          <w:color w:val="000000"/>
          <w:sz w:val="22"/>
        </w:rPr>
        <w:t>2026 Full-Year Guidance</w:t>
      </w:r>
    </w:p>
    <w:p>
      <w:pPr>
        <w:pStyle w:val="TextBody"/>
        <w:bidi w:val="0"/>
        <w:spacing w:lineRule="auto" w:line="319" w:before="0" w:after="160"/>
        <w:ind w:left="360" w:right="0" w:hanging="0"/>
        <w:jc w:val="left"/>
        <w:rPr>
          <w:color w:val="000000"/>
        </w:rPr>
      </w:pPr>
      <w:r>
        <w:rPr>
          <w:color w:val="000000"/>
        </w:rPr>
        <w:t>•</w:t>
      </w:r>
    </w:p>
    <w:p>
      <w:pPr>
        <w:pStyle w:val="TextBody"/>
        <w:bidi w:val="0"/>
        <w:spacing w:lineRule="auto" w:line="319" w:before="0" w:after="160"/>
        <w:jc w:val="left"/>
        <w:rPr>
          <w:rFonts w:ascii="AvenirNext LT Pro Regular;sans-serif" w:hAnsi="AvenirNext LT Pro Regular;sans-serif"/>
          <w:color w:val="000000"/>
          <w:sz w:val="22"/>
        </w:rPr>
      </w:pPr>
      <w:r>
        <w:rPr>
          <w:rFonts w:ascii="AvenirNext LT Pro Regular;sans-serif" w:hAnsi="AvenirNext LT Pro Regular;sans-serif"/>
          <w:color w:val="000000"/>
          <w:sz w:val="22"/>
        </w:rPr>
        <w:t>Firefly expects 2026 full-year revenue to be between $420 million and $450 million.</w:t>
      </w:r>
    </w:p>
    <w:p>
      <w:pPr>
        <w:pStyle w:val="TextBody"/>
        <w:bidi w:val="0"/>
        <w:spacing w:lineRule="auto" w:line="319" w:before="0" w:after="160"/>
        <w:jc w:val="left"/>
        <w:rPr>
          <w:rFonts w:ascii="AvenirNext LT Pro Regular;sans-serif" w:hAnsi="AvenirNext LT Pro Regular;sans-serif"/>
          <w:b/>
          <w:color w:val="000000"/>
          <w:sz w:val="22"/>
        </w:rPr>
      </w:pPr>
      <w:r>
        <w:rPr>
          <w:rFonts w:ascii="AvenirNext LT Pro Regular;sans-serif" w:hAnsi="AvenirNext LT Pro Regular;sans-serif"/>
          <w:b/>
          <w:color w:val="000000"/>
          <w:sz w:val="22"/>
        </w:rPr>
        <w:t>Conference Call</w:t>
      </w:r>
    </w:p>
    <w:p>
      <w:pPr>
        <w:pStyle w:val="TextBody"/>
        <w:bidi w:val="0"/>
        <w:spacing w:lineRule="auto" w:line="319" w:before="0" w:after="160"/>
        <w:jc w:val="left"/>
        <w:rPr>
          <w:rFonts w:ascii="Times New Roman" w:hAnsi="Times New Roman"/>
          <w:sz w:val="20"/>
        </w:rPr>
      </w:pPr>
      <w:r>
        <w:rPr>
          <w:rFonts w:ascii="AvenirNext LT Pro Regular;sans-serif" w:hAnsi="AvenirNext LT Pro Regular;sans-serif"/>
          <w:color w:val="000000"/>
          <w:sz w:val="22"/>
        </w:rPr>
        <w:t>Firefly will host a conference call today at 4:00 p.m. CT (5:00 p.m. ET) to discuss its second quarter 2026 financial results.</w:t>
      </w:r>
      <w:r>
        <w:rPr>
          <w:rFonts w:ascii="Times New Roman" w:hAnsi="Times New Roman"/>
          <w:color w:val="000000"/>
          <w:sz w:val="20"/>
        </w:rPr>
        <w:t xml:space="preserve"> </w:t>
      </w:r>
    </w:p>
    <w:p>
      <w:pPr>
        <w:pStyle w:val="TextBody"/>
        <w:bidi w:val="0"/>
        <w:spacing w:lineRule="auto" w:line="319" w:before="0" w:after="160"/>
        <w:jc w:val="left"/>
        <w:rPr>
          <w:rFonts w:ascii="Times New Roman" w:hAnsi="Times New Roman"/>
          <w:sz w:val="20"/>
        </w:rPr>
      </w:pPr>
      <w:r>
        <w:rPr>
          <w:rFonts w:ascii="AvenirNext LT Pro Regular;sans-serif" w:hAnsi="AvenirNext LT Pro Regular;sans-serif"/>
          <w:color w:val="000000"/>
          <w:sz w:val="22"/>
        </w:rPr>
        <w:t xml:space="preserve">The live webcast and accompanying presentation, as well as a replay of the webcast, will be available on Firefly’s Investor Relations website: </w:t>
      </w:r>
      <w:r>
        <w:rPr>
          <w:rFonts w:ascii="AvenirNext LT Pro Regular;sans-serif" w:hAnsi="AvenirNext LT Pro Regular;sans-serif"/>
          <w:sz w:val="22"/>
        </w:rPr>
        <w:t>investors.fireflyspace.com</w:t>
      </w:r>
      <w:r>
        <w:rPr>
          <w:rFonts w:ascii="AvenirNext LT Pro Regular;sans-serif" w:hAnsi="AvenirNext LT Pro Regular;sans-serif"/>
          <w:color w:val="000000"/>
          <w:sz w:val="22"/>
        </w:rPr>
        <w:t>.</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drawing>
          <wp:inline distT="0" distB="0" distL="0" distR="0">
            <wp:extent cx="1704975" cy="8858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704975" cy="885825"/>
                    </a:xfrm>
                    <a:prstGeom prst="rect">
                      <a:avLst/>
                    </a:prstGeom>
                  </pic:spPr>
                </pic:pic>
              </a:graphicData>
            </a:graphic>
          </wp:inline>
        </w:drawing>
      </w:r>
    </w:p>
    <w:p>
      <w:pPr>
        <w:pStyle w:val="TextBody"/>
        <w:bidi w:val="0"/>
        <w:spacing w:lineRule="auto" w:line="273"/>
        <w:jc w:val="center"/>
        <w:rPr/>
      </w:pPr>
      <w:r>
        <w:rPr/>
        <w:t> </w:t>
      </w:r>
    </w:p>
    <w:p>
      <w:pPr>
        <w:pStyle w:val="TextBody"/>
        <w:bidi w:val="0"/>
        <w:spacing w:lineRule="auto" w:line="319" w:before="0" w:after="160"/>
        <w:jc w:val="left"/>
        <w:rPr>
          <w:rFonts w:ascii="AvenirNext LT Pro Regular;sans-serif" w:hAnsi="AvenirNext LT Pro Regular;sans-serif"/>
          <w:b/>
          <w:color w:val="000000"/>
          <w:sz w:val="22"/>
        </w:rPr>
      </w:pPr>
      <w:r>
        <w:rPr>
          <w:rFonts w:ascii="AvenirNext LT Pro Regular;sans-serif" w:hAnsi="AvenirNext LT Pro Regular;sans-serif"/>
          <w:b/>
          <w:color w:val="000000"/>
          <w:sz w:val="22"/>
        </w:rPr>
        <w:t>About Firefly Aerospace</w:t>
      </w:r>
    </w:p>
    <w:p>
      <w:pPr>
        <w:pStyle w:val="TextBody"/>
        <w:bidi w:val="0"/>
        <w:spacing w:lineRule="auto" w:line="319" w:before="0" w:after="160"/>
        <w:jc w:val="left"/>
        <w:rPr>
          <w:rFonts w:ascii="Times New Roman" w:hAnsi="Times New Roman"/>
          <w:sz w:val="20"/>
        </w:rPr>
      </w:pPr>
      <w:r>
        <w:rPr>
          <w:rFonts w:ascii="AvenirNext LT Pro Regular;sans-serif" w:hAnsi="AvenirNext LT Pro Regular;sans-serif"/>
          <w:color w:val="000000"/>
          <w:sz w:val="22"/>
        </w:rPr>
        <w:t xml:space="preserve">Firefly Aerospace is a space and defense technology company that enables government and commercial customers to launch, land, and operate in space – anywhere, anytime. As the partner of choice for responsive space missions, Firefly is the first commercial company to launch a satellite to orbit with approximately 24-hour notice. Firefly is also the only company to achieve a fully successful landing on the Moon. Established in 2017, Firefly’s engineering, manufacturing, and test facilities are co-located in central Texas to enable rapid innovation. The company’s small- to medium-lift launch vehicles, lunar landers, and orbital vehicles are built with common flight-proven technologies to enable speed, reliability, and cost efficiencies for each mission from low Earth orbit to the Moon and beyond. For more information, visit </w:t>
      </w:r>
      <w:r>
        <w:rPr>
          <w:rFonts w:ascii="AvenirNext LT Pro Regular;sans-serif" w:hAnsi="AvenirNext LT Pro Regular;sans-serif"/>
          <w:sz w:val="22"/>
        </w:rPr>
        <w:t>www.fireflyspace.com</w:t>
      </w:r>
      <w:r>
        <w:rPr>
          <w:rFonts w:ascii="AvenirNext LT Pro Regular;sans-serif" w:hAnsi="AvenirNext LT Pro Regular;sans-serif"/>
          <w:color w:val="000000"/>
          <w:sz w:val="22"/>
        </w:rPr>
        <w:t>. Firefly utilizes its website as a means to distribute material information about the company to the public.</w:t>
      </w:r>
    </w:p>
    <w:p>
      <w:pPr>
        <w:pStyle w:val="TextBody"/>
        <w:bidi w:val="0"/>
        <w:spacing w:lineRule="auto" w:line="319" w:before="0" w:after="160"/>
        <w:jc w:val="left"/>
        <w:rPr>
          <w:rFonts w:ascii="AvenirNext LT Pro Regular;sans-serif" w:hAnsi="AvenirNext LT Pro Regular;sans-serif"/>
          <w:b/>
          <w:color w:val="000000"/>
          <w:sz w:val="22"/>
        </w:rPr>
      </w:pPr>
      <w:r>
        <w:rPr>
          <w:rFonts w:ascii="AvenirNext LT Pro Regular;sans-serif" w:hAnsi="AvenirNext LT Pro Regular;sans-serif"/>
          <w:b/>
          <w:color w:val="000000"/>
          <w:sz w:val="22"/>
        </w:rPr>
        <w:t>Cautionary Note Regarding Forward-Looking Statements</w:t>
      </w:r>
    </w:p>
    <w:p>
      <w:pPr>
        <w:pStyle w:val="TextBody"/>
        <w:bidi w:val="0"/>
        <w:spacing w:lineRule="auto" w:line="319" w:before="0" w:after="160"/>
        <w:jc w:val="left"/>
        <w:rPr>
          <w:rFonts w:ascii="AvenirNext LT Pro Regular;sans-serif" w:hAnsi="AvenirNext LT Pro Regular;sans-serif"/>
          <w:color w:val="000000"/>
          <w:sz w:val="22"/>
        </w:rPr>
      </w:pPr>
      <w:r>
        <w:rPr>
          <w:rFonts w:ascii="AvenirNext LT Pro Regular;sans-serif" w:hAnsi="AvenirNext LT Pro Regular;sans-serif"/>
          <w:color w:val="000000"/>
          <w:sz w:val="22"/>
        </w:rPr>
        <w:t>This press release contains forward-looking statements (including within the meaning of Section 21E of the United States Securities Exchange Act of 1934, as amended, and Section 27A of the United States Securities Act of 1933, as amended) concerning Firefly. Statements included in this press release that are not statements of historical fact, including statements about our expectations, beliefs, plans, strategies, objectives, prospects, assumptions or future events or performance, are forward-looking statements. Forward-looking statements are inherently subject to risks and uncertainties, some of which cannot be predicted or quantified. In some cases, you can identify forward-looking statements by terminology such as "advance," “anticipate,” “believe,” “continue,” “could,” “estimate,” “expect,” “intend,” “may,” “might,” “objective,” “ongoing,” “plan,” “predict,” “project,” “potential,” “should,” "target," “will,” “would,” or the negative of these terms or other comparable terminology. In particular, our outlook and revenue forecasts for full-year 2026, statements about our programs and innovation, our ability or expectations regarding our partnerships, collaborations and contract wins, our expectations regarding new vehicle launches and launch timelines, and our ability to retain existing customers and maintain their bookings are forward-looking statements.</w:t>
      </w:r>
    </w:p>
    <w:p>
      <w:pPr>
        <w:pStyle w:val="TextBody"/>
        <w:bidi w:val="0"/>
        <w:spacing w:lineRule="auto" w:line="319" w:before="0" w:after="160"/>
        <w:jc w:val="left"/>
        <w:rPr>
          <w:rFonts w:ascii="Times New Roman" w:hAnsi="Times New Roman"/>
          <w:sz w:val="20"/>
        </w:rPr>
      </w:pPr>
      <w:r>
        <w:rPr>
          <w:rFonts w:ascii="AvenirNext LT Pro Regular;sans-serif" w:hAnsi="AvenirNext LT Pro Regular;sans-serif"/>
          <w:color w:val="000000"/>
          <w:sz w:val="22"/>
        </w:rPr>
        <w:t>Various risks that could cause actual results to differ from those expressed by the forward-looking statements included in this press release include, but are not limited to our failure to manage our growth effectively and our ability to achieve and maintain profitability; the potential for delayed or failed launches, and any failure of our launch vehicles and spacecraft to operate as intended; our inability to manufacture our launch vehicles, landers, or orbital vehicles at a quantity and quality that our customers demand; the hazards and operational risks that our products and service offerings are exposed to, including the wide and unique range of risks due to the unpredictability of space; the market for commercial launch services for small- and medium-sized payloads not achieving the growth potential we expect; adverse impacts from</w:t>
      </w:r>
      <w:r>
        <w:rPr>
          <w:rFonts w:ascii="Times New Roman" w:hAnsi="Times New Roman"/>
          <w:color w:val="000000"/>
          <w:sz w:val="20"/>
        </w:rPr>
        <w:t xml:space="preserve">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drawing>
          <wp:inline distT="0" distB="0" distL="0" distR="0">
            <wp:extent cx="1704975" cy="8858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04975" cy="885825"/>
                    </a:xfrm>
                    <a:prstGeom prst="rect">
                      <a:avLst/>
                    </a:prstGeom>
                  </pic:spPr>
                </pic:pic>
              </a:graphicData>
            </a:graphic>
          </wp:inline>
        </w:drawing>
      </w:r>
    </w:p>
    <w:p>
      <w:pPr>
        <w:pStyle w:val="TextBody"/>
        <w:bidi w:val="0"/>
        <w:spacing w:lineRule="auto" w:line="273"/>
        <w:jc w:val="center"/>
        <w:rPr/>
      </w:pPr>
      <w:r>
        <w:rPr/>
        <w:t> </w:t>
      </w:r>
    </w:p>
    <w:p>
      <w:pPr>
        <w:pStyle w:val="TextBody"/>
        <w:bidi w:val="0"/>
        <w:spacing w:lineRule="auto" w:line="319" w:before="0" w:after="160"/>
        <w:jc w:val="left"/>
        <w:rPr>
          <w:rFonts w:ascii="AvenirNext LT Pro Regular;sans-serif" w:hAnsi="AvenirNext LT Pro Regular;sans-serif"/>
          <w:color w:val="000000"/>
          <w:sz w:val="22"/>
        </w:rPr>
      </w:pPr>
      <w:r>
        <w:rPr>
          <w:rFonts w:ascii="AvenirNext LT Pro Regular;sans-serif" w:hAnsi="AvenirNext LT Pro Regular;sans-serif"/>
          <w:color w:val="000000"/>
          <w:sz w:val="22"/>
        </w:rPr>
        <w:t>current or future disruptions in U.S. government operations, including as a result of delays or reduction in appropriations or regulatory approvals from our programs, or changes in U.S. government funding and budgetary priorities and spending levels; our dependence on contracts entered into in the ordinary course of business and our dependence on major customers and vendors; a loss of, or default by, one or more of our major customers, or a material adverse change in any such customer’s business or financial condition, could materially reduce our revenues and backlog; uncertain global macro-economic and political conditions, including the implementation of tariffs; the failure of our information technology systems, physical or electronic security protections; the inability to operate Alpha at our anticipated launch rate (including due to potential regulatory delays) or finalize the development and delivery of Eclipse; our failure to establish and maintain important relationships with government agencies and prime contractors; the inability to realize our backlog; evolving government laws and regulations; our ability to consummate future acquisitions and successfully integrate operations in such acquisitions; our ability to implement and maintain effective internal control over financial reporting in the future; and the factors, risks and uncertainties included in our filings with the Securities and Exchange Commission. You should not place undue reliance on these forward-looking statements, which speak only as of the date stated, or if no date is stated, as of the date of this press release. Actual results may vary from the estimates provided. We undertake no intent or obligation to publicly update or revise any of the estimates and other forward-looking statements made in this announcement, whether as a result of new information, future events or otherwise, except as required by law.</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drawing>
          <wp:inline distT="0" distB="0" distL="0" distR="0">
            <wp:extent cx="1704975" cy="8858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704975" cy="885825"/>
                    </a:xfrm>
                    <a:prstGeom prst="rect">
                      <a:avLst/>
                    </a:prstGeom>
                  </pic:spPr>
                </pic:pic>
              </a:graphicData>
            </a:graphic>
          </wp:inline>
        </w:drawing>
      </w:r>
    </w:p>
    <w:p>
      <w:pPr>
        <w:pStyle w:val="TextBody"/>
        <w:bidi w:val="0"/>
        <w:spacing w:lineRule="auto" w:line="273"/>
        <w:jc w:val="center"/>
        <w:rPr/>
      </w:pPr>
      <w:r>
        <w:rPr/>
        <w:t> </w:t>
      </w:r>
    </w:p>
    <w:p>
      <w:pPr>
        <w:pStyle w:val="TextBody"/>
        <w:bidi w:val="0"/>
        <w:spacing w:lineRule="auto" w:line="319" w:before="0" w:after="160"/>
        <w:jc w:val="left"/>
        <w:rPr>
          <w:rFonts w:ascii="AvenirNext LT Pro Regular;sans-serif" w:hAnsi="AvenirNext LT Pro Regular;sans-serif"/>
          <w:b/>
          <w:color w:val="000000"/>
          <w:sz w:val="22"/>
        </w:rPr>
      </w:pPr>
      <w:r>
        <w:rPr>
          <w:rFonts w:ascii="AvenirNext LT Pro Regular;sans-serif" w:hAnsi="AvenirNext LT Pro Regular;sans-serif"/>
          <w:b/>
          <w:color w:val="000000"/>
          <w:sz w:val="22"/>
        </w:rPr>
        <w:t>Use of Non-GAAP Financial Measures</w:t>
      </w:r>
    </w:p>
    <w:p>
      <w:pPr>
        <w:pStyle w:val="TextBody"/>
        <w:bidi w:val="0"/>
        <w:spacing w:lineRule="auto" w:line="319" w:before="0" w:after="160"/>
        <w:jc w:val="left"/>
        <w:rPr>
          <w:rFonts w:ascii="AvenirNext LT Pro Regular;sans-serif" w:hAnsi="AvenirNext LT Pro Regular;sans-serif"/>
          <w:color w:val="000000"/>
          <w:sz w:val="22"/>
        </w:rPr>
      </w:pPr>
      <w:r>
        <w:rPr>
          <w:rFonts w:ascii="AvenirNext LT Pro Regular;sans-serif" w:hAnsi="AvenirNext LT Pro Regular;sans-serif"/>
          <w:color w:val="000000"/>
          <w:sz w:val="22"/>
        </w:rPr>
        <w:t>Adjusted EBITDA, Free Cash Flow, Non-GAAP Research and Development, Non-GAAP Selling, General, and Administrative, Non-GAAP Operating Expenses, Non-GAAP Loss from Operations, Non-GAAP Other Income (Expense), Non-GAAP Net Loss, and Non-GAAP Net Loss Per Share are non-GAAP financial measures. These non-GAAP financial measures should not be considered as a substitute for, or superior to, measures of financial performance prepared in accordance with U.S. GAAP. A reconciliation of each non-GAAP financial measure to the most directly comparable financial measure prepared in accordance with U.S. GAAP is included in the supplemental financial data attached to this press release. Non-GAAP financial measures have important limitations as analytical tools and should not be considered in isolation or as a substitute for analyses of Firefly’s performance or cash flows as reported under U.S. GAAP. Non-GAAP financial measures may be defined differently by other companies in our industry and may not be comparable to similarly titled measures of other companies, thereby diminishing their utility.</w:t>
      </w:r>
    </w:p>
    <w:p>
      <w:pPr>
        <w:pStyle w:val="TextBody"/>
        <w:bidi w:val="0"/>
        <w:spacing w:lineRule="auto" w:line="319" w:before="0" w:after="160"/>
        <w:jc w:val="left"/>
        <w:rPr>
          <w:rFonts w:ascii="AvenirNext LT Pro Regular;sans-serif" w:hAnsi="AvenirNext LT Pro Regular;sans-serif"/>
          <w:color w:val="000000"/>
          <w:sz w:val="22"/>
        </w:rPr>
      </w:pPr>
      <w:r>
        <w:rPr>
          <w:rFonts w:ascii="AvenirNext LT Pro Regular;sans-serif" w:hAnsi="AvenirNext LT Pro Regular;sans-serif"/>
          <w:color w:val="000000"/>
          <w:sz w:val="22"/>
        </w:rPr>
        <w:t>Firefly believes non-GAAP financial information provides additional insight into the Company’s ongoing performance and liquidity. Therefore, Firefly provides this information to investors for a more consistent basis of comparison and to help them evaluate the Company’s ongoing performance and liquidity and to enable more meaningful period-to-period comparisons.</w:t>
      </w:r>
    </w:p>
    <w:p>
      <w:pPr>
        <w:pStyle w:val="TextBody"/>
        <w:bidi w:val="0"/>
        <w:spacing w:lineRule="auto" w:line="319" w:before="0" w:after="160"/>
        <w:jc w:val="left"/>
        <w:rPr>
          <w:rFonts w:ascii="AvenirNext LT Pro Regular;sans-serif" w:hAnsi="AvenirNext LT Pro Regular;sans-serif"/>
          <w:b/>
          <w:i/>
          <w:color w:val="000000"/>
          <w:sz w:val="22"/>
        </w:rPr>
      </w:pPr>
      <w:r>
        <w:rPr>
          <w:rFonts w:ascii="AvenirNext LT Pro Regular;sans-serif" w:hAnsi="AvenirNext LT Pro Regular;sans-serif"/>
          <w:b/>
          <w:i/>
          <w:color w:val="000000"/>
          <w:sz w:val="22"/>
        </w:rPr>
        <w:t>Adjusted EBITDA</w:t>
      </w:r>
    </w:p>
    <w:p>
      <w:pPr>
        <w:pStyle w:val="TextBody"/>
        <w:bidi w:val="0"/>
        <w:spacing w:lineRule="auto" w:line="319" w:before="0" w:after="160"/>
        <w:jc w:val="left"/>
        <w:rPr>
          <w:rFonts w:ascii="AvenirNext LT Pro Regular;sans-serif" w:hAnsi="AvenirNext LT Pro Regular;sans-serif"/>
          <w:color w:val="000000"/>
          <w:sz w:val="22"/>
        </w:rPr>
      </w:pPr>
      <w:r>
        <w:rPr>
          <w:rFonts w:ascii="AvenirNext LT Pro Regular;sans-serif" w:hAnsi="AvenirNext LT Pro Regular;sans-serif"/>
          <w:color w:val="000000"/>
          <w:sz w:val="22"/>
        </w:rPr>
        <w:t>We define Adjusted EBITDA as net loss, adjusted for (benefit) provision for income taxes, interest income, interest expense, depreciation and amortization, stock-based compensation expense, change in fair value of warrant liability, certain one-time costs related to the IPO, transaction-related expenses, gain on settlement of contingent liabilities, and certain other items that are not expected to recur in the future or that management does not view as reflective of the performance of the business. In addition to net loss, we use Adjusted EBITDA to evaluate our business, measure its performance, and make strategic decisions.</w:t>
      </w:r>
    </w:p>
    <w:p>
      <w:pPr>
        <w:pStyle w:val="TextBody"/>
        <w:bidi w:val="0"/>
        <w:spacing w:lineRule="auto" w:line="319" w:before="0" w:after="160"/>
        <w:jc w:val="left"/>
        <w:rPr>
          <w:rFonts w:ascii="AvenirNext LT Pro Regular;sans-serif" w:hAnsi="AvenirNext LT Pro Regular;sans-serif"/>
          <w:color w:val="000000"/>
          <w:sz w:val="22"/>
        </w:rPr>
      </w:pPr>
      <w:r>
        <w:rPr>
          <w:rFonts w:ascii="AvenirNext LT Pro Regular;sans-serif" w:hAnsi="AvenirNext LT Pro Regular;sans-serif"/>
          <w:color w:val="000000"/>
          <w:sz w:val="22"/>
        </w:rPr>
        <w:t>We believe that Adjusted EBITDA provides useful information to management, investors, and analysts in assessing our financial performance and results of operations across reporting periods by excluding items we do not believe are indicative of our core operating performance. Net loss is the U.S. GAAP measure most directly comparable to Adjusted EBITDA. Adjusted EBITDA should not be considered as an alternative to net loss. Our presentation of Adjusted EBITDA should not be construed as an inference that our future results will be unaffected by unusual or non-recurring items.</w:t>
      </w:r>
    </w:p>
    <w:p>
      <w:pPr>
        <w:pStyle w:val="TextBody"/>
        <w:bidi w:val="0"/>
        <w:spacing w:lineRule="auto" w:line="319" w:before="0" w:after="160"/>
        <w:jc w:val="left"/>
        <w:rPr>
          <w:rFonts w:ascii="AvenirNext LT Pro Regular;sans-serif" w:hAnsi="AvenirNext LT Pro Regular;sans-serif"/>
          <w:b/>
          <w:i/>
          <w:color w:val="000000"/>
          <w:sz w:val="22"/>
        </w:rPr>
      </w:pPr>
      <w:r>
        <w:rPr>
          <w:rFonts w:ascii="AvenirNext LT Pro Regular;sans-serif" w:hAnsi="AvenirNext LT Pro Regular;sans-serif"/>
          <w:b/>
          <w:i/>
          <w:color w:val="000000"/>
          <w:sz w:val="22"/>
        </w:rPr>
        <w:t>Free Cash Flow</w:t>
      </w:r>
    </w:p>
    <w:p>
      <w:pPr>
        <w:pStyle w:val="TextBody"/>
        <w:bidi w:val="0"/>
        <w:spacing w:lineRule="auto" w:line="319" w:before="0" w:after="160"/>
        <w:jc w:val="left"/>
        <w:rPr>
          <w:rFonts w:ascii="Times New Roman" w:hAnsi="Times New Roman"/>
          <w:sz w:val="20"/>
        </w:rPr>
      </w:pPr>
      <w:r>
        <w:rPr>
          <w:rFonts w:ascii="AvenirNext LT Pro Regular;sans-serif" w:hAnsi="AvenirNext LT Pro Regular;sans-serif"/>
          <w:color w:val="000000"/>
          <w:sz w:val="22"/>
        </w:rPr>
        <w:t>We define Free Cash Flow as net cash used in operating activities, adjusted for purchases of property and equipment and internal-use software. We believe that Free Cash Flow is a</w:t>
      </w:r>
      <w:r>
        <w:rPr>
          <w:rFonts w:ascii="Times New Roman" w:hAnsi="Times New Roman"/>
          <w:color w:val="000000"/>
          <w:sz w:val="20"/>
        </w:rPr>
        <w:t xml:space="preserve">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drawing>
          <wp:inline distT="0" distB="0" distL="0" distR="0">
            <wp:extent cx="1704975" cy="8858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704975" cy="885825"/>
                    </a:xfrm>
                    <a:prstGeom prst="rect">
                      <a:avLst/>
                    </a:prstGeom>
                  </pic:spPr>
                </pic:pic>
              </a:graphicData>
            </a:graphic>
          </wp:inline>
        </w:drawing>
      </w:r>
    </w:p>
    <w:p>
      <w:pPr>
        <w:pStyle w:val="TextBody"/>
        <w:bidi w:val="0"/>
        <w:spacing w:lineRule="auto" w:line="273"/>
        <w:jc w:val="center"/>
        <w:rPr/>
      </w:pPr>
      <w:r>
        <w:rPr/>
        <w:t> </w:t>
      </w:r>
    </w:p>
    <w:p>
      <w:pPr>
        <w:pStyle w:val="TextBody"/>
        <w:bidi w:val="0"/>
        <w:spacing w:lineRule="auto" w:line="319" w:before="0" w:after="160"/>
        <w:jc w:val="left"/>
        <w:rPr>
          <w:rFonts w:ascii="AvenirNext LT Pro Regular;sans-serif" w:hAnsi="AvenirNext LT Pro Regular;sans-serif"/>
          <w:color w:val="000000"/>
          <w:sz w:val="22"/>
        </w:rPr>
      </w:pPr>
      <w:r>
        <w:rPr>
          <w:rFonts w:ascii="AvenirNext LT Pro Regular;sans-serif" w:hAnsi="AvenirNext LT Pro Regular;sans-serif"/>
          <w:color w:val="000000"/>
          <w:sz w:val="22"/>
        </w:rPr>
        <w:t>meaningful indicator of liquidity that provides information to management and investors about the amount of cash generated from or used in operations, after purchases of property and internal-use software, that (after any debt service requirements or other non-discretionary expenditures not otherwise deducted from the measure) can be used for strategic initiatives, including continuous investment in our business and strengthening our balance sheet.</w:t>
      </w:r>
    </w:p>
    <w:p>
      <w:pPr>
        <w:pStyle w:val="TextBody"/>
        <w:bidi w:val="0"/>
        <w:spacing w:lineRule="auto" w:line="319" w:before="0" w:after="160"/>
        <w:jc w:val="left"/>
        <w:rPr>
          <w:rFonts w:ascii="AvenirNext LT Pro Regular;sans-serif" w:hAnsi="AvenirNext LT Pro Regular;sans-serif"/>
          <w:color w:val="000000"/>
          <w:sz w:val="22"/>
        </w:rPr>
      </w:pPr>
      <w:r>
        <w:rPr>
          <w:rFonts w:ascii="AvenirNext LT Pro Regular;sans-serif" w:hAnsi="AvenirNext LT Pro Regular;sans-serif"/>
          <w:color w:val="000000"/>
          <w:sz w:val="22"/>
        </w:rPr>
        <w:t>Free Cash Flow has limitations as a liquidity measure, and you should not consider it in isolation or as a substitute for analysis of our cash flows as reported under U.S. GAAP. Free Cash Flow may be affected in the near to medium term by the timing of capital investments, fluctuations in our growth and the effect of such fluctuations on working capital, and our changes in our cash conversion cycle.</w:t>
      </w:r>
    </w:p>
    <w:p>
      <w:pPr>
        <w:pStyle w:val="TextBody"/>
        <w:bidi w:val="0"/>
        <w:spacing w:lineRule="auto" w:line="319" w:before="0" w:after="160"/>
        <w:jc w:val="left"/>
        <w:rPr>
          <w:rFonts w:ascii="AvenirNext LT Pro Regular;sans-serif" w:hAnsi="AvenirNext LT Pro Regular;sans-serif"/>
          <w:b/>
          <w:i/>
          <w:color w:val="000000"/>
          <w:sz w:val="22"/>
        </w:rPr>
      </w:pPr>
      <w:r>
        <w:rPr>
          <w:rFonts w:ascii="AvenirNext LT Pro Regular;sans-serif" w:hAnsi="AvenirNext LT Pro Regular;sans-serif"/>
          <w:b/>
          <w:i/>
          <w:color w:val="000000"/>
          <w:sz w:val="22"/>
        </w:rPr>
        <w:t>Non-GAAP Research and Development</w:t>
      </w:r>
    </w:p>
    <w:p>
      <w:pPr>
        <w:pStyle w:val="TextBody"/>
        <w:bidi w:val="0"/>
        <w:spacing w:lineRule="auto" w:line="319" w:before="0" w:after="160"/>
        <w:jc w:val="left"/>
        <w:rPr>
          <w:rFonts w:ascii="AvenirNext LT Pro Regular;sans-serif" w:hAnsi="AvenirNext LT Pro Regular;sans-serif"/>
          <w:color w:val="000000"/>
          <w:sz w:val="22"/>
        </w:rPr>
      </w:pPr>
      <w:r>
        <w:rPr>
          <w:rFonts w:ascii="AvenirNext LT Pro Regular;sans-serif" w:hAnsi="AvenirNext LT Pro Regular;sans-serif"/>
          <w:color w:val="000000"/>
          <w:sz w:val="22"/>
        </w:rPr>
        <w:t>We define Non-GAAP Research and Development as research and development, adjusted for stock-based compensation expense. Management believes this non-GAAP measure provides investors with meaningful insight into results from ongoing operations by excluding items of income or loss to present it in accordance with how management manages the business.</w:t>
      </w:r>
    </w:p>
    <w:p>
      <w:pPr>
        <w:pStyle w:val="TextBody"/>
        <w:bidi w:val="0"/>
        <w:spacing w:lineRule="auto" w:line="319" w:before="0" w:after="160"/>
        <w:jc w:val="left"/>
        <w:rPr>
          <w:rFonts w:ascii="AvenirNext LT Pro Regular;sans-serif" w:hAnsi="AvenirNext LT Pro Regular;sans-serif"/>
          <w:b/>
          <w:i/>
          <w:color w:val="000000"/>
          <w:sz w:val="22"/>
        </w:rPr>
      </w:pPr>
      <w:r>
        <w:rPr>
          <w:rFonts w:ascii="AvenirNext LT Pro Regular;sans-serif" w:hAnsi="AvenirNext LT Pro Regular;sans-serif"/>
          <w:b/>
          <w:i/>
          <w:color w:val="000000"/>
          <w:sz w:val="22"/>
        </w:rPr>
        <w:t>Non-GAAP Selling, General, and Administrative</w:t>
      </w:r>
    </w:p>
    <w:p>
      <w:pPr>
        <w:pStyle w:val="TextBody"/>
        <w:bidi w:val="0"/>
        <w:spacing w:lineRule="auto" w:line="319" w:before="0" w:after="160"/>
        <w:jc w:val="left"/>
        <w:rPr>
          <w:rFonts w:ascii="AvenirNext LT Pro Regular;sans-serif" w:hAnsi="AvenirNext LT Pro Regular;sans-serif"/>
          <w:color w:val="000000"/>
          <w:sz w:val="22"/>
        </w:rPr>
      </w:pPr>
      <w:r>
        <w:rPr>
          <w:rFonts w:ascii="AvenirNext LT Pro Regular;sans-serif" w:hAnsi="AvenirNext LT Pro Regular;sans-serif"/>
          <w:color w:val="000000"/>
          <w:sz w:val="22"/>
        </w:rPr>
        <w:t>We define Non-GAAP Selling, General and Administrative as selling, general and administrative, adjusted for amortization of acquired intangibles, stock-based compensation expense, certain one-time costs related to the IPO, and transaction-related expenses. Management believes this non-GAAP measure provides investors with meaningful insight into results from ongoing operations by excluding items of income or loss to present it in accordance with how management manages the business.</w:t>
      </w:r>
    </w:p>
    <w:p>
      <w:pPr>
        <w:pStyle w:val="TextBody"/>
        <w:bidi w:val="0"/>
        <w:spacing w:lineRule="auto" w:line="319" w:before="0" w:after="160"/>
        <w:jc w:val="left"/>
        <w:rPr>
          <w:rFonts w:ascii="AvenirNext LT Pro Regular;sans-serif" w:hAnsi="AvenirNext LT Pro Regular;sans-serif"/>
          <w:b/>
          <w:i/>
          <w:color w:val="000000"/>
          <w:sz w:val="22"/>
        </w:rPr>
      </w:pPr>
      <w:r>
        <w:rPr>
          <w:rFonts w:ascii="AvenirNext LT Pro Regular;sans-serif" w:hAnsi="AvenirNext LT Pro Regular;sans-serif"/>
          <w:b/>
          <w:i/>
          <w:color w:val="000000"/>
          <w:sz w:val="22"/>
        </w:rPr>
        <w:t>Non-GAAP Operating Expenses</w:t>
      </w:r>
    </w:p>
    <w:p>
      <w:pPr>
        <w:pStyle w:val="TextBody"/>
        <w:bidi w:val="0"/>
        <w:spacing w:lineRule="auto" w:line="319" w:before="0" w:after="160"/>
        <w:jc w:val="left"/>
        <w:rPr>
          <w:rFonts w:ascii="AvenirNext LT Pro Regular;sans-serif" w:hAnsi="AvenirNext LT Pro Regular;sans-serif"/>
          <w:color w:val="000000"/>
          <w:sz w:val="22"/>
        </w:rPr>
      </w:pPr>
      <w:r>
        <w:rPr>
          <w:rFonts w:ascii="AvenirNext LT Pro Regular;sans-serif" w:hAnsi="AvenirNext LT Pro Regular;sans-serif"/>
          <w:color w:val="000000"/>
          <w:sz w:val="22"/>
        </w:rPr>
        <w:t>We define Non-GAAP Operating Expenses as operating expenses, adjusted for amortization of acquired intangibles, stock-based compensation expense, certain one-time costs related to the IPO, and transaction-related expenses. Management believes this non-GAAP measure provides investors with meaningful insight into results from ongoing operations by excluding items of income or loss to present it in accordance with how management manages the business.</w:t>
      </w:r>
    </w:p>
    <w:p>
      <w:pPr>
        <w:pStyle w:val="TextBody"/>
        <w:bidi w:val="0"/>
        <w:spacing w:lineRule="auto" w:line="319" w:before="0" w:after="160"/>
        <w:jc w:val="left"/>
        <w:rPr>
          <w:rFonts w:ascii="AvenirNext LT Pro Regular;sans-serif" w:hAnsi="AvenirNext LT Pro Regular;sans-serif"/>
          <w:b/>
          <w:i/>
          <w:color w:val="000000"/>
          <w:sz w:val="22"/>
        </w:rPr>
      </w:pPr>
      <w:r>
        <w:rPr>
          <w:rFonts w:ascii="AvenirNext LT Pro Regular;sans-serif" w:hAnsi="AvenirNext LT Pro Regular;sans-serif"/>
          <w:b/>
          <w:i/>
          <w:color w:val="000000"/>
          <w:sz w:val="22"/>
        </w:rPr>
        <w:t>Non-GAAP Loss From Operations</w:t>
      </w:r>
    </w:p>
    <w:p>
      <w:pPr>
        <w:pStyle w:val="TextBody"/>
        <w:bidi w:val="0"/>
        <w:spacing w:lineRule="auto" w:line="319" w:before="0" w:after="160"/>
        <w:jc w:val="left"/>
        <w:rPr>
          <w:rFonts w:ascii="AvenirNext LT Pro Regular;sans-serif" w:hAnsi="AvenirNext LT Pro Regular;sans-serif"/>
          <w:color w:val="000000"/>
          <w:sz w:val="22"/>
        </w:rPr>
      </w:pPr>
      <w:r>
        <w:rPr>
          <w:rFonts w:ascii="AvenirNext LT Pro Regular;sans-serif" w:hAnsi="AvenirNext LT Pro Regular;sans-serif"/>
          <w:color w:val="000000"/>
          <w:sz w:val="22"/>
        </w:rPr>
        <w:t>We define Non-GAAP Loss From Operations as loss from operations, adjusted for amortization of acquired intangibles, stock-based compensation expense, certain one-time costs related to the IPO, and transaction-related expenses. Management believes this non-GAAP measure provides investors with meaningful insight into results from ongoing operations by excluding items of income or loss to present it in accordance with how management manages the business.</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drawing>
          <wp:inline distT="0" distB="0" distL="0" distR="0">
            <wp:extent cx="1704975" cy="8858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704975" cy="885825"/>
                    </a:xfrm>
                    <a:prstGeom prst="rect">
                      <a:avLst/>
                    </a:prstGeom>
                  </pic:spPr>
                </pic:pic>
              </a:graphicData>
            </a:graphic>
          </wp:inline>
        </w:drawing>
      </w:r>
    </w:p>
    <w:p>
      <w:pPr>
        <w:pStyle w:val="TextBody"/>
        <w:bidi w:val="0"/>
        <w:spacing w:lineRule="auto" w:line="273"/>
        <w:jc w:val="center"/>
        <w:rPr/>
      </w:pPr>
      <w:r>
        <w:rPr/>
        <w:t> </w:t>
      </w:r>
    </w:p>
    <w:p>
      <w:pPr>
        <w:pStyle w:val="TextBody"/>
        <w:bidi w:val="0"/>
        <w:spacing w:lineRule="auto" w:line="319" w:before="0" w:after="160"/>
        <w:jc w:val="left"/>
        <w:rPr>
          <w:rFonts w:ascii="AvenirNext LT Pro Regular;sans-serif" w:hAnsi="AvenirNext LT Pro Regular;sans-serif"/>
          <w:b/>
          <w:i/>
          <w:color w:val="000000"/>
          <w:sz w:val="22"/>
        </w:rPr>
      </w:pPr>
      <w:r>
        <w:rPr>
          <w:rFonts w:ascii="AvenirNext LT Pro Regular;sans-serif" w:hAnsi="AvenirNext LT Pro Regular;sans-serif"/>
          <w:b/>
          <w:i/>
          <w:color w:val="000000"/>
          <w:sz w:val="22"/>
        </w:rPr>
        <w:t>Non-GAAP Other Income (Expense)</w:t>
      </w:r>
    </w:p>
    <w:p>
      <w:pPr>
        <w:pStyle w:val="TextBody"/>
        <w:bidi w:val="0"/>
        <w:spacing w:lineRule="auto" w:line="319" w:before="0" w:after="160"/>
        <w:jc w:val="left"/>
        <w:rPr>
          <w:rFonts w:ascii="AvenirNext LT Pro Regular;sans-serif" w:hAnsi="AvenirNext LT Pro Regular;sans-serif"/>
          <w:color w:val="000000"/>
          <w:sz w:val="22"/>
        </w:rPr>
      </w:pPr>
      <w:r>
        <w:rPr>
          <w:rFonts w:ascii="AvenirNext LT Pro Regular;sans-serif" w:hAnsi="AvenirNext LT Pro Regular;sans-serif"/>
          <w:color w:val="000000"/>
          <w:sz w:val="22"/>
        </w:rPr>
        <w:t>We define Non-GAAP Other Income (Expense) as other income (expense), adjusted for change in fair value of warrant liability, gain on settlement of contingent liabilities, and certain other items that are not expected to recur in the future or that management does not view as reflective of the performance of the business. Management believes this non-GAAP measure provides investors with meaningful insight into results from ongoing operations by excluding items of income or loss to present it in accordance with how management manages the business.</w:t>
      </w:r>
    </w:p>
    <w:p>
      <w:pPr>
        <w:pStyle w:val="TextBody"/>
        <w:bidi w:val="0"/>
        <w:spacing w:lineRule="auto" w:line="319" w:before="0" w:after="160"/>
        <w:jc w:val="left"/>
        <w:rPr>
          <w:rFonts w:ascii="AvenirNext LT Pro Regular;sans-serif" w:hAnsi="AvenirNext LT Pro Regular;sans-serif"/>
          <w:b/>
          <w:color w:val="000000"/>
          <w:sz w:val="22"/>
        </w:rPr>
      </w:pPr>
      <w:r>
        <w:rPr>
          <w:rFonts w:ascii="AvenirNext LT Pro Regular;sans-serif" w:hAnsi="AvenirNext LT Pro Regular;sans-serif"/>
          <w:b/>
          <w:color w:val="000000"/>
          <w:sz w:val="22"/>
        </w:rPr>
        <w:t>Non-GAAP Net Loss</w:t>
      </w:r>
    </w:p>
    <w:p>
      <w:pPr>
        <w:pStyle w:val="TextBody"/>
        <w:bidi w:val="0"/>
        <w:spacing w:lineRule="auto" w:line="319" w:before="0" w:after="160"/>
        <w:jc w:val="left"/>
        <w:rPr>
          <w:rFonts w:ascii="AvenirNext LT Pro Regular;sans-serif" w:hAnsi="AvenirNext LT Pro Regular;sans-serif"/>
          <w:color w:val="000000"/>
          <w:sz w:val="22"/>
        </w:rPr>
      </w:pPr>
      <w:r>
        <w:rPr>
          <w:rFonts w:ascii="AvenirNext LT Pro Regular;sans-serif" w:hAnsi="AvenirNext LT Pro Regular;sans-serif"/>
          <w:color w:val="000000"/>
          <w:sz w:val="22"/>
        </w:rPr>
        <w:t>We define Non-GAAP Net Loss as net loss, adjusted for the income tax effect of business acquisitions, amortization of acquired intangibles, stock-based compensation, change in fair value of warrant liability, certain one-time costs related to the IPO, transaction-related expenses, gain on settlement of contingent liabilities, and certain other items that are not expected to recur in the future or that management does not view as reflective of the performance of the business. Management believes this non-GAAP measure provides investors with meaningful insight into results from ongoing operations by excluding items of income or loss to present it in accordance with how management manages the business.</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drawing>
          <wp:inline distT="0" distB="0" distL="0" distR="0">
            <wp:extent cx="1704975" cy="8858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704975" cy="885825"/>
                    </a:xfrm>
                    <a:prstGeom prst="rect">
                      <a:avLst/>
                    </a:prstGeom>
                  </pic:spPr>
                </pic:pic>
              </a:graphicData>
            </a:graphic>
          </wp:inline>
        </w:drawing>
      </w:r>
    </w:p>
    <w:p>
      <w:pPr>
        <w:pStyle w:val="TextBody"/>
        <w:bidi w:val="0"/>
        <w:spacing w:lineRule="auto" w:line="273"/>
        <w:jc w:val="center"/>
        <w:rPr/>
      </w:pPr>
      <w:r>
        <w:rPr/>
        <w:t> </w:t>
      </w:r>
    </w:p>
    <w:p>
      <w:pPr>
        <w:pStyle w:val="TextBody"/>
        <w:bidi w:val="0"/>
        <w:spacing w:lineRule="auto" w:line="319" w:before="0" w:after="160"/>
        <w:jc w:val="left"/>
        <w:rPr>
          <w:rFonts w:ascii="AvenirNext LT Pro Regular;sans-serif" w:hAnsi="AvenirNext LT Pro Regular;sans-serif"/>
          <w:b/>
          <w:color w:val="000000"/>
          <w:sz w:val="22"/>
        </w:rPr>
      </w:pPr>
      <w:r>
        <w:rPr>
          <w:rFonts w:ascii="AvenirNext LT Pro Regular;sans-serif" w:hAnsi="AvenirNext LT Pro Regular;sans-serif"/>
          <w:b/>
          <w:color w:val="000000"/>
          <w:sz w:val="22"/>
        </w:rPr>
        <w:t>Contacts</w:t>
      </w:r>
    </w:p>
    <w:p>
      <w:pPr>
        <w:pStyle w:val="TextBody"/>
        <w:bidi w:val="0"/>
        <w:spacing w:lineRule="auto" w:line="319" w:before="0" w:after="160"/>
        <w:jc w:val="left"/>
        <w:rPr>
          <w:rFonts w:ascii="Times New Roman" w:hAnsi="Times New Roman"/>
          <w:sz w:val="20"/>
        </w:rPr>
      </w:pPr>
      <w:r>
        <w:rPr>
          <w:rFonts w:ascii="AvenirNext LT Pro Regular;sans-serif" w:hAnsi="AvenirNext LT Pro Regular;sans-serif"/>
          <w:color w:val="000000"/>
          <w:sz w:val="22"/>
        </w:rPr>
        <w:t>Media Relations</w:t>
      </w:r>
      <w:r>
        <w:rPr>
          <w:rFonts w:ascii="AvenirNext LT Pro Regular;sans-serif" w:hAnsi="AvenirNext LT Pro Regular;sans-serif"/>
          <w:color w:val="000000"/>
          <w:sz w:val="24"/>
        </w:rPr>
        <w:br/>
      </w:r>
      <w:r>
        <w:rPr>
          <w:rFonts w:ascii="AvenirNext LT Pro Regular;sans-serif" w:hAnsi="AvenirNext LT Pro Regular;sans-serif"/>
          <w:color w:val="467886"/>
          <w:sz w:val="22"/>
        </w:rPr>
        <w:t>press@fireflyspace.com</w:t>
      </w:r>
    </w:p>
    <w:p>
      <w:pPr>
        <w:pStyle w:val="TextBody"/>
        <w:bidi w:val="0"/>
        <w:spacing w:lineRule="auto" w:line="319" w:before="0" w:after="160"/>
        <w:jc w:val="left"/>
        <w:rPr>
          <w:rFonts w:ascii="Times New Roman" w:hAnsi="Times New Roman"/>
          <w:sz w:val="20"/>
        </w:rPr>
      </w:pPr>
      <w:r>
        <w:rPr>
          <w:rFonts w:ascii="AvenirNext LT Pro Regular;sans-serif" w:hAnsi="AvenirNext LT Pro Regular;sans-serif"/>
          <w:color w:val="000000"/>
          <w:sz w:val="22"/>
        </w:rPr>
        <w:t>Investor Relations</w:t>
      </w:r>
      <w:r>
        <w:rPr>
          <w:rFonts w:ascii="AvenirNext LT Pro Regular;sans-serif" w:hAnsi="AvenirNext LT Pro Regular;sans-serif"/>
          <w:color w:val="000000"/>
          <w:sz w:val="24"/>
        </w:rPr>
        <w:br/>
      </w:r>
      <w:r>
        <w:rPr>
          <w:rFonts w:ascii="AvenirNext LT Pro Regular;sans-serif" w:hAnsi="AvenirNext LT Pro Regular;sans-serif"/>
          <w:color w:val="467886"/>
          <w:sz w:val="22"/>
        </w:rPr>
        <w:t>investors@fireflyspace.com</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drawing>
          <wp:inline distT="0" distB="0" distL="0" distR="0">
            <wp:extent cx="1704975" cy="8858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704975" cy="885825"/>
                    </a:xfrm>
                    <a:prstGeom prst="rect">
                      <a:avLst/>
                    </a:prstGeom>
                  </pic:spPr>
                </pic:pic>
              </a:graphicData>
            </a:graphic>
          </wp:inline>
        </w:drawing>
      </w:r>
    </w:p>
    <w:p>
      <w:pPr>
        <w:pStyle w:val="TextBody"/>
        <w:bidi w:val="0"/>
        <w:spacing w:lineRule="auto" w:line="316"/>
        <w:jc w:val="left"/>
        <w:rPr>
          <w:rFonts w:ascii="AvenirNext LT Pro Regular;sans-serif" w:hAnsi="AvenirNext LT Pro Regular;sans-serif"/>
          <w:b/>
          <w:color w:val="000000"/>
          <w:sz w:val="22"/>
        </w:rPr>
      </w:pPr>
      <w:r>
        <w:rPr>
          <w:rFonts w:ascii="AvenirNext LT Pro Regular;sans-serif" w:hAnsi="AvenirNext LT Pro Regular;sans-serif"/>
          <w:b/>
          <w:color w:val="000000"/>
          <w:sz w:val="22"/>
        </w:rPr>
        <w:t>CONDENSED CONSOLIDATED STATEMENTS OF NET LOSS AND COMPREHENSIVE LOSS</w:t>
      </w:r>
    </w:p>
    <w:p>
      <w:pPr>
        <w:pStyle w:val="TextBody"/>
        <w:bidi w:val="0"/>
        <w:spacing w:lineRule="auto" w:line="316"/>
        <w:jc w:val="left"/>
        <w:rPr>
          <w:rFonts w:ascii="AvenirNext LT Pro Regular;sans-serif" w:hAnsi="AvenirNext LT Pro Regular;sans-serif"/>
          <w:color w:val="000000"/>
          <w:sz w:val="22"/>
        </w:rPr>
      </w:pPr>
      <w:r>
        <w:rPr>
          <w:rFonts w:ascii="AvenirNext LT Pro Regular;sans-serif" w:hAnsi="AvenirNext LT Pro Regular;sans-serif"/>
          <w:color w:val="000000"/>
          <w:sz w:val="22"/>
        </w:rPr>
        <w:t>(unaudited; in thousands, except per share amounts)</w:t>
      </w:r>
    </w:p>
    <w:p>
      <w:pPr>
        <w:pStyle w:val="TextBody"/>
        <w:bidi w:val="0"/>
        <w:spacing w:lineRule="auto" w:line="316"/>
        <w:jc w:val="left"/>
        <w:rPr/>
      </w:pPr>
      <w:r>
        <w:rPr/>
        <w:t> </w:t>
      </w:r>
    </w:p>
    <w:tbl>
      <w:tblPr>
        <w:tblW w:w="10205" w:type="dxa"/>
        <w:jc w:val="left"/>
        <w:tblInd w:w="0" w:type="dxa"/>
        <w:tblLayout w:type="fixed"/>
        <w:tblCellMar>
          <w:top w:w="28" w:type="dxa"/>
          <w:left w:w="28" w:type="dxa"/>
          <w:bottom w:w="28" w:type="dxa"/>
          <w:right w:w="28" w:type="dxa"/>
        </w:tblCellMar>
      </w:tblPr>
      <w:tblGrid>
        <w:gridCol w:w="3198"/>
        <w:gridCol w:w="146"/>
        <w:gridCol w:w="267"/>
        <w:gridCol w:w="1048"/>
        <w:gridCol w:w="214"/>
        <w:gridCol w:w="172"/>
        <w:gridCol w:w="267"/>
        <w:gridCol w:w="995"/>
        <w:gridCol w:w="181"/>
        <w:gridCol w:w="146"/>
        <w:gridCol w:w="249"/>
        <w:gridCol w:w="1059"/>
        <w:gridCol w:w="199"/>
        <w:gridCol w:w="160"/>
        <w:gridCol w:w="249"/>
        <w:gridCol w:w="1059"/>
        <w:gridCol w:w="596"/>
      </w:tblGrid>
      <w:tr>
        <w:trPr/>
        <w:tc>
          <w:tcPr>
            <w:tcW w:w="31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3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63"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6"/>
              </w:rPr>
            </w:pPr>
            <w:r>
              <w:rPr>
                <w:rFonts w:ascii="AvenirNext LT Pro Regular;sans-serif" w:hAnsi="AvenirNext LT Pro Regular;sans-serif"/>
                <w:b/>
                <w:color w:val="000000"/>
                <w:sz w:val="16"/>
              </w:rPr>
              <w:t>For the 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75"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6"/>
              </w:rPr>
            </w:pPr>
            <w:r>
              <w:rPr>
                <w:rFonts w:ascii="AvenirNext LT Pro Regular;sans-serif" w:hAnsi="AvenirNext LT Pro Regular;sans-serif"/>
                <w:b/>
                <w:color w:val="000000"/>
                <w:sz w:val="16"/>
              </w:rPr>
              <w:t>For the Six Months Ended June 30,</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1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6"/>
              </w:rPr>
            </w:pPr>
            <w:r>
              <w:rPr>
                <w:rFonts w:ascii="AvenirNext LT Pro Regular;sans-serif" w:hAnsi="AvenirNext LT Pro Regular;sans-serif"/>
                <w:b/>
                <w:color w:val="000000"/>
                <w:sz w:val="16"/>
              </w:rPr>
              <w:t>2026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6"/>
              </w:rPr>
            </w:pPr>
            <w:r>
              <w:rPr>
                <w:rFonts w:ascii="AvenirNext LT Pro Regular;sans-serif" w:hAnsi="AvenirNext LT Pro Regular;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6"/>
              </w:rPr>
            </w:pPr>
            <w:r>
              <w:rPr>
                <w:rFonts w:ascii="AvenirNext LT Pro Regular;sans-serif" w:hAnsi="AvenirNext LT Pro Regular;sans-serif"/>
                <w:b/>
                <w:color w:val="000000"/>
                <w:sz w:val="16"/>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6"/>
              </w:rPr>
            </w:pPr>
            <w:r>
              <w:rPr>
                <w:rFonts w:ascii="AvenirNext LT Pro Regular;sans-serif" w:hAnsi="AvenirNext LT Pro Regular;sans-serif"/>
                <w:b/>
                <w:color w:val="000000"/>
                <w:sz w:val="16"/>
              </w:rPr>
              <w:t>2025</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Revenue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117,683</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15,549</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198,562</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71,404</w:t>
            </w:r>
          </w:p>
        </w:tc>
        <w:tc>
          <w:tcPr>
            <w:tcW w:w="5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Cost of sales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93,808</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11,554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157,226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65,189</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Gross profit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23,875</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3,995</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41,336</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6,215</w:t>
            </w:r>
          </w:p>
        </w:tc>
        <w:tc>
          <w:tcPr>
            <w:tcW w:w="5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198"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71,532</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45,774</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139,041</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93,786</w:t>
            </w:r>
          </w:p>
        </w:tc>
        <w:tc>
          <w:tcPr>
            <w:tcW w:w="5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198"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47,540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12,571</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93,160</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25,323</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pPr>
            <w:r>
              <w:rPr/>
              <w:t> </w:t>
            </w:r>
          </w:p>
        </w:tc>
      </w:tr>
      <w:tr>
        <w:trPr/>
        <w:tc>
          <w:tcPr>
            <w:tcW w:w="3198"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119,072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58,345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232,201</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119,109</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(95,197</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(54,350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(190,865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(112,894</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r>
      <w:tr>
        <w:trPr/>
        <w:tc>
          <w:tcPr>
            <w:tcW w:w="3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198"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(625</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(4,191</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(4,309</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(1,118</w:t>
            </w:r>
          </w:p>
        </w:tc>
        <w:tc>
          <w:tcPr>
            <w:tcW w:w="5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r>
      <w:tr>
        <w:trPr/>
        <w:tc>
          <w:tcPr>
            <w:tcW w:w="3198"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4,336</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1,761</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10,310</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2,789</w:t>
            </w:r>
          </w:p>
        </w:tc>
        <w:tc>
          <w:tcPr>
            <w:tcW w:w="5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198"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Interest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(1,794</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(6,998</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(5,399</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(13,190</w:t>
            </w:r>
          </w:p>
        </w:tc>
        <w:tc>
          <w:tcPr>
            <w:tcW w:w="5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r>
      <w:tr>
        <w:trPr/>
        <w:tc>
          <w:tcPr>
            <w:tcW w:w="3198"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Gain on settlement of contingent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926</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1,307</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198"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(7</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542</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3198"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2,843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(9,428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1,902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(10,977</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r>
      <w:tr>
        <w:trPr/>
        <w:tc>
          <w:tcPr>
            <w:tcW w:w="3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Loss before (benefit)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(92,354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(63,778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(188,963</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(123,871</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200"/>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r>
      <w:tr>
        <w:trPr/>
        <w:tc>
          <w:tcPr>
            <w:tcW w:w="3198"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(Benefit)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(35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32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(92,319</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(63,778</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(188,995</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(123,871</w:t>
            </w:r>
          </w:p>
        </w:tc>
        <w:tc>
          <w:tcPr>
            <w:tcW w:w="5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r>
      <w:tr>
        <w:trPr/>
        <w:tc>
          <w:tcPr>
            <w:tcW w:w="3198"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Less: Accretion of dividends of Series C Preferred Stock</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(5,363</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(10,942</w:t>
            </w:r>
          </w:p>
        </w:tc>
        <w:tc>
          <w:tcPr>
            <w:tcW w:w="5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r>
      <w:tr>
        <w:trPr/>
        <w:tc>
          <w:tcPr>
            <w:tcW w:w="3198"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Less: Accretion of dividends of Series D-1 Preferred Stock</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(10,856</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(17,465</w:t>
            </w:r>
          </w:p>
        </w:tc>
        <w:tc>
          <w:tcPr>
            <w:tcW w:w="5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r>
      <w:tr>
        <w:trPr/>
        <w:tc>
          <w:tcPr>
            <w:tcW w:w="3198"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Less: Accretion of dividends of Series D-3 Preferred Stock</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(266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(266</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r>
      <w:tr>
        <w:trPr/>
        <w:tc>
          <w:tcPr>
            <w:tcW w:w="3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Net loss available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4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(92,319</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(80,263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(188,995</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(152,544</w:t>
            </w:r>
          </w:p>
        </w:tc>
        <w:tc>
          <w:tcPr>
            <w:tcW w:w="5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r>
      <w:tr>
        <w:trPr/>
        <w:tc>
          <w:tcPr>
            <w:tcW w:w="3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Net loss per common share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198"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Basic and diluted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0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(0.57</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(5.78</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(1.18</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(11.17</w:t>
            </w:r>
          </w:p>
        </w:tc>
        <w:tc>
          <w:tcPr>
            <w:tcW w:w="5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r>
      <w:tr>
        <w:trPr/>
        <w:tc>
          <w:tcPr>
            <w:tcW w:w="3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198"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Basic and diluted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161,784</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13,877</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160,711</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13,659</w:t>
            </w:r>
          </w:p>
        </w:tc>
        <w:tc>
          <w:tcPr>
            <w:tcW w:w="5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drawing>
          <wp:inline distT="0" distB="0" distL="0" distR="0">
            <wp:extent cx="1704975" cy="8858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704975" cy="885825"/>
                    </a:xfrm>
                    <a:prstGeom prst="rect">
                      <a:avLst/>
                    </a:prstGeom>
                  </pic:spPr>
                </pic:pic>
              </a:graphicData>
            </a:graphic>
          </wp:inline>
        </w:drawing>
      </w:r>
    </w:p>
    <w:p>
      <w:pPr>
        <w:pStyle w:val="TextBody"/>
        <w:bidi w:val="0"/>
        <w:spacing w:lineRule="auto" w:line="316"/>
        <w:jc w:val="left"/>
        <w:rPr>
          <w:rFonts w:ascii="AvenirNext LT Pro Regular;sans-serif" w:hAnsi="AvenirNext LT Pro Regular;sans-serif"/>
          <w:b/>
          <w:color w:val="000000"/>
          <w:sz w:val="22"/>
        </w:rPr>
      </w:pPr>
      <w:r>
        <w:rPr>
          <w:rFonts w:ascii="AvenirNext LT Pro Regular;sans-serif" w:hAnsi="AvenirNext LT Pro Regular;sans-serif"/>
          <w:b/>
          <w:color w:val="000000"/>
          <w:sz w:val="22"/>
        </w:rPr>
        <w:t>CONDENSED CONSOLIDATED BALANCE SHEETS</w:t>
      </w:r>
    </w:p>
    <w:p>
      <w:pPr>
        <w:pStyle w:val="TextBody"/>
        <w:bidi w:val="0"/>
        <w:spacing w:lineRule="auto" w:line="316"/>
        <w:jc w:val="left"/>
        <w:rPr>
          <w:rFonts w:ascii="AvenirNext LT Pro Regular;sans-serif" w:hAnsi="AvenirNext LT Pro Regular;sans-serif"/>
          <w:color w:val="000000"/>
          <w:sz w:val="22"/>
        </w:rPr>
      </w:pPr>
      <w:r>
        <w:rPr>
          <w:rFonts w:ascii="AvenirNext LT Pro Regular;sans-serif" w:hAnsi="AvenirNext LT Pro Regular;sans-serif"/>
          <w:color w:val="000000"/>
          <w:sz w:val="22"/>
        </w:rPr>
        <w:t>(unaudited; in thousands, except per share amounts)</w:t>
      </w:r>
    </w:p>
    <w:p>
      <w:pPr>
        <w:pStyle w:val="TextBody"/>
        <w:bidi w:val="0"/>
        <w:spacing w:lineRule="auto" w:line="316"/>
        <w:jc w:val="left"/>
        <w:rPr/>
      </w:pPr>
      <w:r>
        <w:rPr/>
        <w:t> </w:t>
      </w:r>
    </w:p>
    <w:tbl>
      <w:tblPr>
        <w:tblW w:w="10205" w:type="dxa"/>
        <w:jc w:val="left"/>
        <w:tblInd w:w="0" w:type="dxa"/>
        <w:tblLayout w:type="fixed"/>
        <w:tblCellMar>
          <w:top w:w="28" w:type="dxa"/>
          <w:left w:w="28" w:type="dxa"/>
          <w:bottom w:w="28" w:type="dxa"/>
          <w:right w:w="28" w:type="dxa"/>
        </w:tblCellMar>
      </w:tblPr>
      <w:tblGrid>
        <w:gridCol w:w="6981"/>
        <w:gridCol w:w="146"/>
        <w:gridCol w:w="196"/>
        <w:gridCol w:w="886"/>
        <w:gridCol w:w="166"/>
        <w:gridCol w:w="146"/>
        <w:gridCol w:w="197"/>
        <w:gridCol w:w="894"/>
        <w:gridCol w:w="593"/>
      </w:tblGrid>
      <w:tr>
        <w:trPr/>
        <w:tc>
          <w:tcPr>
            <w:tcW w:w="6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4"/>
              </w:rPr>
            </w:pPr>
            <w:r>
              <w:rPr>
                <w:rFonts w:ascii="AvenirNext LT Pro Regular;sans-serif" w:hAnsi="AvenirNext LT Pro Regular;sans-serif"/>
                <w:b/>
                <w:color w:val="000000"/>
                <w:sz w:val="14"/>
              </w:rPr>
              <w:t>June 30,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4"/>
              </w:rPr>
            </w:pPr>
            <w:r>
              <w:rPr>
                <w:rFonts w:ascii="AvenirNext LT Pro Regular;sans-serif" w:hAnsi="AvenirNext LT Pro Regular;sans-serif"/>
                <w:b/>
                <w:color w:val="000000"/>
                <w:sz w:val="14"/>
              </w:rPr>
              <w:t>December 31,</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4"/>
              </w:rPr>
            </w:pPr>
            <w:r>
              <w:rPr>
                <w:rFonts w:ascii="AvenirNext LT Pro Regular;sans-serif" w:hAnsi="AvenirNext LT Pro Regular;sans-serif"/>
                <w:b/>
                <w:color w:val="000000"/>
                <w:sz w:val="14"/>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4"/>
              </w:rPr>
            </w:pPr>
            <w:r>
              <w:rPr>
                <w:rFonts w:ascii="AvenirNext LT Pro Regular;sans-serif" w:hAnsi="AvenirNext LT Pro Regular;sans-serif"/>
                <w:b/>
                <w:color w:val="000000"/>
                <w:sz w:val="14"/>
              </w:rPr>
              <w:t>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459,817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792,966</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175,447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100,008</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58,114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46,129</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Advanced payments, current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71,592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12,350</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Contract asset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19,939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3,499</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14,381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8,223</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799,290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963,175</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Advanced payments, less current portion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10,269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60,496</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186,057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163,738</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Right-of-use assets - operating leases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18,869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13,938</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Right-of-use assets - finance leases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2,919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3,735</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152,286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165,709</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Goodwill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466,984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450,119</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Other assets, less current portion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2,549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4,024</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Total assets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1,639,223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1,824,934</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Liabilities, temporary equity, and stockholders'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Accounts payable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57,823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35,626</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Accrued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52,356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42,755</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Accounts payable and accrued expenses – related parties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1,446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330</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Operating lease liability, current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3,053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1,161</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Finance lease liability, current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1,066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1,056</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Deferred revenue, current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151,174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116,135</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Notes payable, current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7,410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7,099</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18,795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9,419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293,123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213,581</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Operating lease liability, less current portion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20,818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15,832</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Finance lease liability, less current portion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1,462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2,004</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Deferred revenue, less current portion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58,365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92,565</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Notes payable, less current portion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19,588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281,441</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Warrant liability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16,604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12,294</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Other liabilities, less current portion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6,338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17,278</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4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400" w:right="0" w:firstLine="400"/>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Total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416,298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634,995</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Common stock, $0.0001 par value, 1,000,000 shares authorized as of June 30, 2026 and December 31, 2025; 166,207 and 159,276 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17</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2,432,182</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2,210,201</w:t>
            </w:r>
          </w:p>
        </w:tc>
        <w:tc>
          <w:tcPr>
            <w:tcW w:w="593"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(1,209,274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(1,020,279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1,222,925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1,189,939</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69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1,639,223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1,824,934</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drawing>
          <wp:inline distT="0" distB="0" distL="0" distR="0">
            <wp:extent cx="1704975" cy="8858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704975" cy="885825"/>
                    </a:xfrm>
                    <a:prstGeom prst="rect">
                      <a:avLst/>
                    </a:prstGeom>
                  </pic:spPr>
                </pic:pic>
              </a:graphicData>
            </a:graphic>
          </wp:inline>
        </w:drawing>
      </w:r>
    </w:p>
    <w:p>
      <w:pPr>
        <w:pStyle w:val="TextBody"/>
        <w:bidi w:val="0"/>
        <w:spacing w:lineRule="auto" w:line="316"/>
        <w:jc w:val="left"/>
        <w:rPr>
          <w:rFonts w:ascii="AvenirNext LT Pro Regular;sans-serif" w:hAnsi="AvenirNext LT Pro Regular;sans-serif"/>
          <w:b/>
          <w:color w:val="000000"/>
          <w:sz w:val="22"/>
        </w:rPr>
      </w:pPr>
      <w:r>
        <w:rPr>
          <w:rFonts w:ascii="AvenirNext LT Pro Regular;sans-serif" w:hAnsi="AvenirNext LT Pro Regular;sans-serif"/>
          <w:b/>
          <w:color w:val="000000"/>
          <w:sz w:val="22"/>
        </w:rPr>
        <w:t>CONDENSED CONSOLIDATED STATEMENTS OF CASH FLOWS</w:t>
      </w:r>
    </w:p>
    <w:p>
      <w:pPr>
        <w:pStyle w:val="TextBody"/>
        <w:bidi w:val="0"/>
        <w:spacing w:lineRule="auto" w:line="316"/>
        <w:jc w:val="left"/>
        <w:rPr>
          <w:rFonts w:ascii="AvenirNext LT Pro Regular;sans-serif" w:hAnsi="AvenirNext LT Pro Regular;sans-serif"/>
          <w:color w:val="000000"/>
          <w:sz w:val="22"/>
        </w:rPr>
      </w:pPr>
      <w:r>
        <w:rPr>
          <w:rFonts w:ascii="AvenirNext LT Pro Regular;sans-serif" w:hAnsi="AvenirNext LT Pro Regular;sans-serif"/>
          <w:color w:val="000000"/>
          <w:sz w:val="22"/>
        </w:rPr>
        <w:t>(unaudited; in thousands)</w:t>
      </w:r>
    </w:p>
    <w:tbl>
      <w:tblPr>
        <w:tblW w:w="10205" w:type="dxa"/>
        <w:jc w:val="left"/>
        <w:tblInd w:w="0" w:type="dxa"/>
        <w:tblLayout w:type="fixed"/>
        <w:tblCellMar>
          <w:top w:w="28" w:type="dxa"/>
          <w:left w:w="28" w:type="dxa"/>
          <w:bottom w:w="28" w:type="dxa"/>
          <w:right w:w="28" w:type="dxa"/>
        </w:tblCellMar>
      </w:tblPr>
      <w:tblGrid>
        <w:gridCol w:w="3641"/>
        <w:gridCol w:w="226"/>
        <w:gridCol w:w="230"/>
        <w:gridCol w:w="813"/>
        <w:gridCol w:w="195"/>
        <w:gridCol w:w="171"/>
        <w:gridCol w:w="230"/>
        <w:gridCol w:w="813"/>
        <w:gridCol w:w="246"/>
        <w:gridCol w:w="226"/>
        <w:gridCol w:w="214"/>
        <w:gridCol w:w="821"/>
        <w:gridCol w:w="181"/>
        <w:gridCol w:w="159"/>
        <w:gridCol w:w="214"/>
        <w:gridCol w:w="821"/>
        <w:gridCol w:w="166"/>
        <w:gridCol w:w="838"/>
      </w:tblGrid>
      <w:tr>
        <w:trPr/>
        <w:tc>
          <w:tcPr>
            <w:tcW w:w="36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452"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4"/>
              </w:rPr>
            </w:pPr>
            <w:r>
              <w:rPr>
                <w:rFonts w:ascii="AvenirNext LT Pro Regular;sans-serif" w:hAnsi="AvenirNext LT Pro Regular;sans-serif"/>
                <w:b/>
                <w:color w:val="000000"/>
                <w:sz w:val="14"/>
              </w:rPr>
              <w:t>For the Three Months Ended June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41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4"/>
              </w:rPr>
            </w:pPr>
            <w:r>
              <w:rPr>
                <w:rFonts w:ascii="AvenirNext LT Pro Regular;sans-serif" w:hAnsi="AvenirNext LT Pro Regular;sans-serif"/>
                <w:b/>
                <w:color w:val="000000"/>
                <w:sz w:val="14"/>
              </w:rPr>
              <w:t>For the 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4"/>
              </w:rPr>
            </w:pPr>
            <w:r>
              <w:rPr>
                <w:rFonts w:ascii="AvenirNext LT Pro Regular;sans-serif" w:hAnsi="AvenirNext LT Pro Regular;sans-serif"/>
                <w:b/>
                <w:color w:val="000000"/>
                <w:sz w:val="14"/>
              </w:rPr>
              <w:t>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4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4"/>
              </w:rPr>
            </w:pPr>
            <w:r>
              <w:rPr>
                <w:rFonts w:ascii="AvenirNext LT Pro Regular;sans-serif" w:hAnsi="AvenirNext LT Pro Regular;sans-serif"/>
                <w:b/>
                <w:color w:val="000000"/>
                <w:sz w:val="14"/>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4"/>
              </w:rPr>
            </w:pPr>
            <w:r>
              <w:rPr>
                <w:rFonts w:ascii="AvenirNext LT Pro Regular;sans-serif" w:hAnsi="AvenirNext LT Pro Regular;sans-serif"/>
                <w:b/>
                <w:color w:val="000000"/>
                <w:sz w:val="14"/>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4"/>
              </w:rPr>
            </w:pPr>
            <w:r>
              <w:rPr>
                <w:rFonts w:ascii="AvenirNext LT Pro Regular;sans-serif" w:hAnsi="AvenirNext LT Pro Regular;sans-serif"/>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Cash flows from operating activities</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Net loss</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(92,319</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(63,778</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(188,995</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(123,871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Adjustments to reconcile net loss to net cash used in operating activities:</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2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320" w:right="0" w:firstLine="32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Depreciation and amortization</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13,954</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3,920</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29,888</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7,916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2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320" w:right="0" w:firstLine="32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Stock-based compensation</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17,027</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760</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29,539</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1,191</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2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320" w:right="0" w:firstLine="32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Change in fair value of warrant liability</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625</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4,191</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4,309</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5,107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2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320" w:right="0" w:firstLine="32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Gain on settlement of contingent liabilities</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(926</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(1,307</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2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320" w:right="0" w:firstLine="32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Non-cash interest expense</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490</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2,971</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821</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3,586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2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320" w:right="0" w:firstLine="32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Non-cash interest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(1,724</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(2,361</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2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320" w:right="0" w:firstLine="32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Changes in operating assets and liabilities:</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8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480" w:right="0" w:firstLine="48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Accounts receivable</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(13,167</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9,266</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(11,838</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(4,634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8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480" w:right="0" w:firstLine="48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Advanced payments</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(9,077</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(2,882</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(8,373</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38,778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8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480" w:right="0" w:firstLine="48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Contract assets</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(16,440</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(16,440</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8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480" w:right="0" w:firstLine="48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Other assets</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1,558</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(1,472</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(3,145</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(4,238</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8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480" w:right="0" w:firstLine="48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Accounts payable</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14,253</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(717</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20,849</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(3,344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8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480" w:right="0" w:firstLine="48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Accrued expenses</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4,950</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(3,408</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9,610</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2,245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8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480" w:right="0" w:firstLine="48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Accounts payable and accrued expenses - related parties</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865</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142</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1,116</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355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8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480" w:right="0" w:firstLine="48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Other liabilities</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(12,866</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(3,301</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(11,344</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(11,190</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8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480" w:right="0" w:firstLine="48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Right-of-use assets</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914</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564</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1,846</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986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8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480" w:right="0" w:firstLine="48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Lease liabilities</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(457</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(70</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876</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(2,063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48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480" w:right="0" w:firstLine="48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Deferred revenue</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10,775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25,732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839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4,557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4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Net cash used in operating activities</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(81,565</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(28,082</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(144,110</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(84,619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Cash flows from investing activities</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Purchases of property and equipment and internal-use software</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(24,744</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(9,183</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(41,089</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(11,837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Purchases of short-term investments</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(125,000</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Payments for acquisitions of businesses, net of acquired cash</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(3,699</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(3,699</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Proceeds from sale of short-term investments</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50,000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50,008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64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Net cash used in investing activities</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21,557</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(9,183</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(119,780</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(11,837</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Cash flows from financing activities</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Proceeds from issuance of common stock</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184,111</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184,111</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Payments of offering costs</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(1,502</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(1,502</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Proceeds from issuance of Preferred Stock</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68,812</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184,116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Principal payments on finance leases</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(270</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(440</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(532</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(883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Payments on notes payable</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(2,193</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(1,025</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(3,945</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(3,195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Payments of debt issuance costs</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(1,188</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(575</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(1,188</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(575</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Proceeds from repayment of employee note</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5</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24</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25</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383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Proceeds from issuance of notes payable</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1,730</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(468</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1,730</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Repayment of Revolving Credit Facility</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(260,000</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Proceeds from exercise of stock options, net of shares withheld for taxes</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12,953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206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12,042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595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56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Net cash (used in) provided by financing activities</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193,646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66,534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(69,259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180,441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Net (decrease) increase in cash and cash equivalents and restricted cash</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133,638</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29,269</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(333,149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83,985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Cash and cash equivalents and restricted cash</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Balance, beginning of period</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326,179</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192,274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792,966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137,558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32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Balance, end of period</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459,817</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221,543</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ind w:left="0" w:right="0" w:firstLine="8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459,817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221,543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Reconciliation of cash and cash equivalents and restricted cash</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Cash and cash equivalents</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459,817</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205,286</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8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ind w:left="80" w:right="0" w:firstLine="80"/>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459,817</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205,286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Restricted cash, current</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829</w:t>
            </w:r>
          </w:p>
        </w:tc>
        <w:tc>
          <w:tcPr>
            <w:tcW w:w="2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829</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Restricted cash, non-current</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15,428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15,428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64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Total cash and cash equivalents and restricted cash at the end of the period</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459,817</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221,543</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459,817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4"/>
              </w:rPr>
            </w:pPr>
            <w:r>
              <w:rPr>
                <w:rFonts w:ascii="AvenirNext LT Pro Regular;sans-serif" w:hAnsi="AvenirNext LT Pro Regular;sans-serif"/>
                <w:b/>
                <w:color w:val="000000"/>
                <w:sz w:val="14"/>
              </w:rPr>
              <w:t>221,543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bl>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drawing>
          <wp:inline distT="0" distB="0" distL="0" distR="0">
            <wp:extent cx="1704975" cy="8858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704975" cy="885825"/>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4274"/>
        <w:gridCol w:w="146"/>
        <w:gridCol w:w="274"/>
        <w:gridCol w:w="844"/>
        <w:gridCol w:w="233"/>
        <w:gridCol w:w="204"/>
        <w:gridCol w:w="274"/>
        <w:gridCol w:w="717"/>
        <w:gridCol w:w="166"/>
        <w:gridCol w:w="146"/>
        <w:gridCol w:w="251"/>
        <w:gridCol w:w="772"/>
        <w:gridCol w:w="187"/>
        <w:gridCol w:w="187"/>
        <w:gridCol w:w="251"/>
        <w:gridCol w:w="772"/>
        <w:gridCol w:w="146"/>
        <w:gridCol w:w="361"/>
      </w:tblGrid>
      <w:tr>
        <w:trPr/>
        <w:tc>
          <w:tcPr>
            <w:tcW w:w="42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27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546"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4"/>
              </w:rPr>
            </w:pPr>
            <w:r>
              <w:rPr>
                <w:rFonts w:ascii="AvenirNext LT Pro Regular;sans-serif" w:hAnsi="AvenirNext LT Pro Regular;sans-serif"/>
                <w:b/>
                <w:color w:val="000000"/>
                <w:sz w:val="14"/>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420"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4"/>
              </w:rPr>
            </w:pPr>
            <w:r>
              <w:rPr>
                <w:rFonts w:ascii="AvenirNext LT Pro Regular;sans-serif" w:hAnsi="AvenirNext LT Pro Regular;sans-serif"/>
                <w:b/>
                <w:color w:val="000000"/>
                <w:sz w:val="14"/>
              </w:rPr>
              <w:t>For the 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27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4"/>
              </w:rPr>
            </w:pPr>
            <w:r>
              <w:rPr>
                <w:rFonts w:ascii="AvenirNext LT Pro Regular;sans-serif" w:hAnsi="AvenirNext LT Pro Regular;sans-serif"/>
                <w:b/>
                <w:color w:val="000000"/>
                <w:sz w:val="14"/>
              </w:rPr>
              <w:t>2026</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4"/>
              </w:rPr>
            </w:pPr>
            <w:r>
              <w:rPr>
                <w:rFonts w:ascii="AvenirNext LT Pro Regular;sans-serif" w:hAnsi="AvenirNext LT Pro Regular;sans-serif"/>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4"/>
              </w:rPr>
            </w:pPr>
            <w:r>
              <w:rPr>
                <w:rFonts w:ascii="AvenirNext LT Pro Regular;sans-serif" w:hAnsi="AvenirNext LT Pro Regular;sans-serif"/>
                <w:b/>
                <w:color w:val="000000"/>
                <w:sz w:val="14"/>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02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4"/>
              </w:rPr>
            </w:pPr>
            <w:r>
              <w:rPr>
                <w:rFonts w:ascii="AvenirNext LT Pro Regular;sans-serif" w:hAnsi="AvenirNext LT Pro Regular;sans-serif"/>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4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Supplemental disclosures of cash flow information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left"/>
              <w:rPr/>
            </w:pPr>
            <w:r>
              <w:rPr/>
              <w:t> </w:t>
            </w:r>
          </w:p>
        </w:tc>
      </w:tr>
      <w:tr>
        <w:trPr/>
        <w:tc>
          <w:tcPr>
            <w:tcW w:w="4274"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1,369</w:t>
            </w:r>
          </w:p>
        </w:tc>
        <w:tc>
          <w:tcPr>
            <w:tcW w:w="23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5,536</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5,546</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11,101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4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4"/>
              </w:rPr>
            </w:pPr>
            <w:r>
              <w:rPr>
                <w:rFonts w:ascii="AvenirNext LT Pro Regular;sans-serif" w:hAnsi="AvenirNext LT Pro Regular;sans-serif"/>
                <w:b/>
                <w:color w:val="000000"/>
                <w:sz w:val="14"/>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right"/>
              <w:rPr/>
            </w:pPr>
            <w:r>
              <w:rPr/>
              <w:t> </w:t>
            </w:r>
          </w:p>
        </w:tc>
      </w:tr>
      <w:tr>
        <w:trPr/>
        <w:tc>
          <w:tcPr>
            <w:tcW w:w="4274"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(Decrease) increase in accounts payable for property and equipment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(831</w:t>
            </w:r>
          </w:p>
        </w:tc>
        <w:tc>
          <w:tcPr>
            <w:tcW w:w="23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(163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1,112</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1,413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right"/>
              <w:rPr/>
            </w:pPr>
            <w:r>
              <w:rPr/>
              <w:t> </w:t>
            </w:r>
          </w:p>
        </w:tc>
      </w:tr>
      <w:tr>
        <w:trPr/>
        <w:tc>
          <w:tcPr>
            <w:tcW w:w="4274"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Property and equipment acquired through loans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642</w:t>
            </w:r>
          </w:p>
        </w:tc>
        <w:tc>
          <w:tcPr>
            <w:tcW w:w="23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642</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right"/>
              <w:rPr/>
            </w:pPr>
            <w:r>
              <w:rPr/>
              <w:t> </w:t>
            </w:r>
          </w:p>
        </w:tc>
      </w:tr>
      <w:tr>
        <w:trPr/>
        <w:tc>
          <w:tcPr>
            <w:tcW w:w="4274"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Capitalized interest (paid-in-kind)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3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573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573</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right"/>
              <w:rPr/>
            </w:pPr>
            <w:r>
              <w:rPr/>
              <w:t> </w:t>
            </w:r>
          </w:p>
        </w:tc>
      </w:tr>
      <w:tr>
        <w:trPr/>
        <w:tc>
          <w:tcPr>
            <w:tcW w:w="4274"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Equity issued for business combination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10,144</w:t>
            </w:r>
          </w:p>
        </w:tc>
        <w:tc>
          <w:tcPr>
            <w:tcW w:w="23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10,144</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right"/>
              <w:rPr/>
            </w:pPr>
            <w:r>
              <w:rPr/>
              <w:t> </w:t>
            </w:r>
          </w:p>
        </w:tc>
      </w:tr>
      <w:tr>
        <w:trPr/>
        <w:tc>
          <w:tcPr>
            <w:tcW w:w="4274"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Deferred offering costs payable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1,055</w:t>
            </w:r>
          </w:p>
        </w:tc>
        <w:tc>
          <w:tcPr>
            <w:tcW w:w="23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1,055</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right"/>
              <w:rPr/>
            </w:pPr>
            <w:r>
              <w:rPr/>
              <w:t> </w:t>
            </w:r>
          </w:p>
        </w:tc>
      </w:tr>
      <w:tr>
        <w:trPr/>
        <w:tc>
          <w:tcPr>
            <w:tcW w:w="4274"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Debt issuance costs incurred but unpaid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117</w:t>
            </w:r>
          </w:p>
        </w:tc>
        <w:tc>
          <w:tcPr>
            <w:tcW w:w="23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117</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right"/>
              <w:rPr/>
            </w:pPr>
            <w:r>
              <w:rPr/>
              <w:t> </w:t>
            </w:r>
          </w:p>
        </w:tc>
      </w:tr>
      <w:tr>
        <w:trPr/>
        <w:tc>
          <w:tcPr>
            <w:tcW w:w="4274"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Issuance of debt in exchange of software licenses and obligations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3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664</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664</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right"/>
              <w:rPr/>
            </w:pPr>
            <w:r>
              <w:rPr/>
              <w:t> </w:t>
            </w:r>
          </w:p>
        </w:tc>
      </w:tr>
      <w:tr>
        <w:trPr/>
        <w:tc>
          <w:tcPr>
            <w:tcW w:w="4274"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Acquisition of internal-use software licenses and obligations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3,110</w:t>
            </w:r>
          </w:p>
        </w:tc>
        <w:tc>
          <w:tcPr>
            <w:tcW w:w="23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3,541</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right"/>
              <w:rPr/>
            </w:pPr>
            <w:r>
              <w:rPr/>
              <w:t> </w:t>
            </w:r>
          </w:p>
        </w:tc>
      </w:tr>
      <w:tr>
        <w:trPr/>
        <w:tc>
          <w:tcPr>
            <w:tcW w:w="4274"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Right-of-use asset acquired in exchange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3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5,066</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right"/>
              <w:rPr/>
            </w:pPr>
            <w:r>
              <w:rPr/>
              <w:t> </w:t>
            </w:r>
          </w:p>
        </w:tc>
      </w:tr>
      <w:tr>
        <w:trPr/>
        <w:tc>
          <w:tcPr>
            <w:tcW w:w="4274"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Right-of-use asset acquired in exchange for finance lease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3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193</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1,625</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160"/>
              <w:jc w:val="right"/>
              <w:rPr/>
            </w:pPr>
            <w:r>
              <w:rPr/>
              <w:t> </w:t>
            </w:r>
          </w:p>
        </w:tc>
      </w:tr>
      <w:tr>
        <w:trPr/>
        <w:tc>
          <w:tcPr>
            <w:tcW w:w="4274" w:type="dxa"/>
            <w:tcBorders/>
            <w:shd w:fill="FFFFFF" w:val="clear"/>
            <w:tcMar>
              <w:top w:w="0" w:type="dxa"/>
              <w:left w:w="0" w:type="dxa"/>
              <w:bottom w:w="0" w:type="dxa"/>
              <w:right w:w="0" w:type="dxa"/>
            </w:tcMar>
            <w:vAlign w:val="center"/>
          </w:tcPr>
          <w:p>
            <w:pPr>
              <w:pStyle w:val="TableContents"/>
              <w:bidi w:val="0"/>
              <w:spacing w:lineRule="auto" w:line="252" w:before="0" w:after="283"/>
              <w:ind w:left="160" w:right="0" w:firstLine="160"/>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Non-cash purchase consideration for acquisition of businesses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5,438</w:t>
            </w:r>
          </w:p>
        </w:tc>
        <w:tc>
          <w:tcPr>
            <w:tcW w:w="233"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7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4"/>
              </w:rPr>
            </w:pPr>
            <w:r>
              <w:rPr>
                <w:rFonts w:ascii="AvenirNext LT Pro Regular;sans-serif" w:hAnsi="AvenirNext LT Pro Regular;sans-serif"/>
                <w:color w:val="000000"/>
                <w:sz w:val="14"/>
              </w:rPr>
              <w:t>5,438</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4"/>
              </w:rPr>
            </w:pPr>
            <w:r>
              <w:rPr>
                <w:rFonts w:ascii="AvenirNext LT Pro Regular;sans-serif" w:hAnsi="AvenirNext LT Pro Regular;sans-serif"/>
                <w:color w:val="000000"/>
                <w:sz w:val="14"/>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bl>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drawing>
          <wp:inline distT="0" distB="0" distL="0" distR="0">
            <wp:extent cx="1704975" cy="8858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704975" cy="885825"/>
                    </a:xfrm>
                    <a:prstGeom prst="rect">
                      <a:avLst/>
                    </a:prstGeom>
                  </pic:spPr>
                </pic:pic>
              </a:graphicData>
            </a:graphic>
          </wp:inline>
        </w:drawing>
      </w:r>
    </w:p>
    <w:p>
      <w:pPr>
        <w:pStyle w:val="TextBody"/>
        <w:bidi w:val="0"/>
        <w:spacing w:lineRule="auto" w:line="316"/>
        <w:jc w:val="left"/>
        <w:rPr>
          <w:rFonts w:ascii="AvenirNext LT Pro Regular;sans-serif" w:hAnsi="AvenirNext LT Pro Regular;sans-serif"/>
          <w:b/>
          <w:color w:val="000000"/>
          <w:sz w:val="22"/>
        </w:rPr>
      </w:pPr>
      <w:r>
        <w:rPr>
          <w:rFonts w:ascii="AvenirNext LT Pro Regular;sans-serif" w:hAnsi="AvenirNext LT Pro Regular;sans-serif"/>
          <w:b/>
          <w:color w:val="000000"/>
          <w:sz w:val="22"/>
        </w:rPr>
        <w:t>RECONCILIATION OF NON-GAAP FINANCIAL MEASURES</w:t>
      </w:r>
    </w:p>
    <w:p>
      <w:pPr>
        <w:pStyle w:val="TextBody"/>
        <w:bidi w:val="0"/>
        <w:spacing w:lineRule="auto" w:line="316"/>
        <w:jc w:val="left"/>
        <w:rPr>
          <w:rFonts w:ascii="AvenirNext LT Pro Regular;sans-serif" w:hAnsi="AvenirNext LT Pro Regular;sans-serif"/>
          <w:color w:val="000000"/>
          <w:sz w:val="22"/>
        </w:rPr>
      </w:pPr>
      <w:r>
        <w:rPr>
          <w:rFonts w:ascii="AvenirNext LT Pro Regular;sans-serif" w:hAnsi="AvenirNext LT Pro Regular;sans-serif"/>
          <w:color w:val="000000"/>
          <w:sz w:val="22"/>
        </w:rPr>
        <w:t>(unaudited; in thousands)</w:t>
      </w:r>
    </w:p>
    <w:p>
      <w:pPr>
        <w:pStyle w:val="TextBody"/>
        <w:bidi w:val="0"/>
        <w:spacing w:lineRule="auto" w:line="319"/>
        <w:jc w:val="left"/>
        <w:rPr/>
      </w:pPr>
      <w:r>
        <w:rPr/>
        <w:t> </w:t>
      </w:r>
    </w:p>
    <w:p>
      <w:pPr>
        <w:pStyle w:val="TextBody"/>
        <w:bidi w:val="0"/>
        <w:spacing w:lineRule="auto" w:line="319" w:before="0" w:after="160"/>
        <w:jc w:val="left"/>
        <w:rPr>
          <w:rFonts w:ascii="AvenirNext LT Pro Regular;sans-serif" w:hAnsi="AvenirNext LT Pro Regular;sans-serif"/>
          <w:color w:val="000000"/>
          <w:sz w:val="22"/>
        </w:rPr>
      </w:pPr>
      <w:r>
        <w:rPr>
          <w:rFonts w:ascii="AvenirNext LT Pro Regular;sans-serif" w:hAnsi="AvenirNext LT Pro Regular;sans-serif"/>
          <w:color w:val="000000"/>
          <w:sz w:val="22"/>
        </w:rPr>
        <w:t>The following tables present reconciliations of Adjusted EBITDA, Free Cash Flow, Non-GAAP Research and Development, Non-GAAP Selling, General, and Administrative, Non-GAAP Operating Expenses, Non-GAAP Other Income (Expense), Non-GAAP Net Loss, and Non-GAAP Net Loss Per Share to their most directly comparable financial measures presented in accordance with U.S. GAAP:</w:t>
      </w:r>
    </w:p>
    <w:tbl>
      <w:tblPr>
        <w:tblW w:w="10205" w:type="dxa"/>
        <w:jc w:val="left"/>
        <w:tblInd w:w="0" w:type="dxa"/>
        <w:tblLayout w:type="fixed"/>
        <w:tblCellMar>
          <w:top w:w="28" w:type="dxa"/>
          <w:left w:w="28" w:type="dxa"/>
          <w:bottom w:w="28" w:type="dxa"/>
          <w:right w:w="28" w:type="dxa"/>
        </w:tblCellMar>
      </w:tblPr>
      <w:tblGrid>
        <w:gridCol w:w="3369"/>
        <w:gridCol w:w="146"/>
        <w:gridCol w:w="261"/>
        <w:gridCol w:w="1112"/>
        <w:gridCol w:w="209"/>
        <w:gridCol w:w="168"/>
        <w:gridCol w:w="261"/>
        <w:gridCol w:w="973"/>
        <w:gridCol w:w="181"/>
        <w:gridCol w:w="146"/>
        <w:gridCol w:w="247"/>
        <w:gridCol w:w="1054"/>
        <w:gridCol w:w="198"/>
        <w:gridCol w:w="159"/>
        <w:gridCol w:w="247"/>
        <w:gridCol w:w="1054"/>
        <w:gridCol w:w="420"/>
      </w:tblGrid>
      <w:tr>
        <w:trPr/>
        <w:tc>
          <w:tcPr>
            <w:tcW w:w="33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3369"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98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6"/>
              </w:rPr>
            </w:pPr>
            <w:r>
              <w:rPr>
                <w:rFonts w:ascii="AvenirNext LT Pro Regular;sans-serif" w:hAnsi="AvenirNext LT Pro Regular;sans-serif"/>
                <w:b/>
                <w:color w:val="000000"/>
                <w:sz w:val="16"/>
              </w:rPr>
              <w:t>For the 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2959"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6"/>
              </w:rPr>
            </w:pPr>
            <w:r>
              <w:rPr>
                <w:rFonts w:ascii="AvenirNext LT Pro Regular;sans-serif" w:hAnsi="AvenirNext LT Pro Regular;sans-serif"/>
                <w:b/>
                <w:color w:val="000000"/>
                <w:sz w:val="16"/>
              </w:rPr>
              <w:t>For the Six Months Ended June 30,</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3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7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6"/>
              </w:rPr>
            </w:pPr>
            <w:r>
              <w:rPr>
                <w:rFonts w:ascii="AvenirNext LT Pro Regular;sans-serif" w:hAnsi="AvenirNext LT Pro Regular;sans-serif"/>
                <w:b/>
                <w:color w:val="000000"/>
                <w:sz w:val="16"/>
              </w:rPr>
              <w:t>2026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6"/>
              </w:rPr>
            </w:pPr>
            <w:r>
              <w:rPr>
                <w:rFonts w:ascii="AvenirNext LT Pro Regular;sans-serif" w:hAnsi="AvenirNext LT Pro Regular;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0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6"/>
              </w:rPr>
            </w:pPr>
            <w:r>
              <w:rPr>
                <w:rFonts w:ascii="AvenirNext LT Pro Regular;sans-serif" w:hAnsi="AvenirNext LT Pro Regular;sans-serif"/>
                <w:b/>
                <w:color w:val="000000"/>
                <w:sz w:val="16"/>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0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6"/>
              </w:rPr>
            </w:pPr>
            <w:r>
              <w:rPr>
                <w:rFonts w:ascii="AvenirNext LT Pro Regular;sans-serif" w:hAnsi="AvenirNext LT Pro Regular;sans-serif"/>
                <w:b/>
                <w:color w:val="000000"/>
                <w:sz w:val="16"/>
              </w:rPr>
              <w:t>2025</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3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(92,319</w:t>
            </w:r>
          </w:p>
        </w:tc>
        <w:tc>
          <w:tcPr>
            <w:tcW w:w="20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(63,778</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(188,995</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(123,871</w:t>
            </w:r>
          </w:p>
        </w:tc>
        <w:tc>
          <w:tcPr>
            <w:tcW w:w="42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r>
      <w:tr>
        <w:trPr/>
        <w:tc>
          <w:tcPr>
            <w:tcW w:w="33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Adjusted for:</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right"/>
              <w:rPr/>
            </w:pPr>
            <w:r>
              <w:rPr/>
              <w:t> </w:t>
            </w:r>
          </w:p>
        </w:tc>
      </w:tr>
      <w:tr>
        <w:trPr/>
        <w:tc>
          <w:tcPr>
            <w:tcW w:w="3369"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(Benefit)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(35</w:t>
            </w:r>
          </w:p>
        </w:tc>
        <w:tc>
          <w:tcPr>
            <w:tcW w:w="20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32</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69"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(4,336</w:t>
            </w:r>
          </w:p>
        </w:tc>
        <w:tc>
          <w:tcPr>
            <w:tcW w:w="20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(1,761</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(10,310</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(2,789</w:t>
            </w:r>
          </w:p>
        </w:tc>
        <w:tc>
          <w:tcPr>
            <w:tcW w:w="42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r>
      <w:tr>
        <w:trPr/>
        <w:tc>
          <w:tcPr>
            <w:tcW w:w="3369"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Interest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1,717</w:t>
            </w:r>
          </w:p>
        </w:tc>
        <w:tc>
          <w:tcPr>
            <w:tcW w:w="20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6,998</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5,399</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13,190</w:t>
            </w:r>
          </w:p>
        </w:tc>
        <w:tc>
          <w:tcPr>
            <w:tcW w:w="42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69"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14,309</w:t>
            </w:r>
          </w:p>
        </w:tc>
        <w:tc>
          <w:tcPr>
            <w:tcW w:w="20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3,920</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30,762</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7,916</w:t>
            </w:r>
          </w:p>
        </w:tc>
        <w:tc>
          <w:tcPr>
            <w:tcW w:w="42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69"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17,027</w:t>
            </w:r>
          </w:p>
        </w:tc>
        <w:tc>
          <w:tcPr>
            <w:tcW w:w="20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760</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29,539</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1,191</w:t>
            </w:r>
          </w:p>
        </w:tc>
        <w:tc>
          <w:tcPr>
            <w:tcW w:w="42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69"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625</w:t>
            </w:r>
          </w:p>
        </w:tc>
        <w:tc>
          <w:tcPr>
            <w:tcW w:w="20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4,191</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4,309</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5,107</w:t>
            </w:r>
          </w:p>
        </w:tc>
        <w:tc>
          <w:tcPr>
            <w:tcW w:w="42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69"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sz w:val="16"/>
              </w:rPr>
            </w:pPr>
            <w:r>
              <w:rPr>
                <w:rFonts w:ascii="AvenirNext LT Pro Regular;sans-serif" w:hAnsi="AvenirNext LT Pro Regular;sans-serif"/>
                <w:color w:val="000000"/>
                <w:sz w:val="16"/>
              </w:rPr>
              <w:t>One-time costs related to the IPO</w:t>
            </w:r>
            <w:r>
              <w:rPr>
                <w:rFonts w:ascii="AvenirNext LT Pro Regular;sans-serif" w:hAnsi="AvenirNext LT Pro Regular;sans-serif"/>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0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1,767</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4,220</w:t>
            </w:r>
          </w:p>
        </w:tc>
        <w:tc>
          <w:tcPr>
            <w:tcW w:w="42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69"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Transaction-related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2,724</w:t>
            </w:r>
          </w:p>
        </w:tc>
        <w:tc>
          <w:tcPr>
            <w:tcW w:w="20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4,633</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69"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Gain on settlement of contingent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(926</w:t>
            </w:r>
          </w:p>
        </w:tc>
        <w:tc>
          <w:tcPr>
            <w:tcW w:w="20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(1,307</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69"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sz w:val="16"/>
              </w:rPr>
            </w:pPr>
            <w:r>
              <w:rPr>
                <w:rFonts w:ascii="AvenirNext LT Pro Regular;sans-serif" w:hAnsi="AvenirNext LT Pro Regular;sans-serif"/>
                <w:color w:val="000000"/>
                <w:sz w:val="16"/>
              </w:rPr>
              <w:t>Other</w:t>
            </w:r>
            <w:r>
              <w:rPr>
                <w:rFonts w:ascii="AvenirNext LT Pro Regular;sans-serif" w:hAnsi="AvenirNext LT Pro Regular;sans-serif"/>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3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Adjusted EBITDA</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11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(61,214</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(47,903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(125,923</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(95,036</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r>
      <w:tr>
        <w:trPr/>
        <w:tc>
          <w:tcPr>
            <w:tcW w:w="33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2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3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84"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6"/>
              </w:rPr>
            </w:pPr>
            <w:r>
              <w:rPr>
                <w:rFonts w:ascii="AvenirNext LT Pro Regular;sans-serif" w:hAnsi="AvenirNext LT Pro Regular;sans-serif"/>
                <w:b/>
                <w:color w:val="000000"/>
                <w:sz w:val="16"/>
              </w:rPr>
              <w:t>For the 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59"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6"/>
              </w:rPr>
            </w:pPr>
            <w:r>
              <w:rPr>
                <w:rFonts w:ascii="AvenirNext LT Pro Regular;sans-serif" w:hAnsi="AvenirNext LT Pro Regular;sans-serif"/>
                <w:b/>
                <w:color w:val="000000"/>
                <w:sz w:val="16"/>
              </w:rPr>
              <w:t>For the Six Months Ended June 30,</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3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7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6"/>
              </w:rPr>
            </w:pPr>
            <w:r>
              <w:rPr>
                <w:rFonts w:ascii="AvenirNext LT Pro Regular;sans-serif" w:hAnsi="AvenirNext LT Pro Regular;sans-serif"/>
                <w:b/>
                <w:color w:val="000000"/>
                <w:sz w:val="16"/>
              </w:rPr>
              <w:t>2026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6"/>
              </w:rPr>
            </w:pPr>
            <w:r>
              <w:rPr>
                <w:rFonts w:ascii="AvenirNext LT Pro Regular;sans-serif" w:hAnsi="AvenirNext LT Pro Regular;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6"/>
              </w:rPr>
            </w:pPr>
            <w:r>
              <w:rPr>
                <w:rFonts w:ascii="AvenirNext LT Pro Regular;sans-serif" w:hAnsi="AvenirNext LT Pro Regular;sans-serif"/>
                <w:b/>
                <w:color w:val="000000"/>
                <w:sz w:val="16"/>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01"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6"/>
              </w:rPr>
            </w:pPr>
            <w:r>
              <w:rPr>
                <w:rFonts w:ascii="AvenirNext LT Pro Regular;sans-serif" w:hAnsi="AvenirNext LT Pro Regular;sans-serif"/>
                <w:b/>
                <w:color w:val="000000"/>
                <w:sz w:val="16"/>
              </w:rPr>
              <w:t>2025</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3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(81,565</w:t>
            </w:r>
          </w:p>
        </w:tc>
        <w:tc>
          <w:tcPr>
            <w:tcW w:w="20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(28,082</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(144,110</w:t>
            </w:r>
          </w:p>
        </w:tc>
        <w:tc>
          <w:tcPr>
            <w:tcW w:w="19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(84,619</w:t>
            </w:r>
          </w:p>
        </w:tc>
        <w:tc>
          <w:tcPr>
            <w:tcW w:w="42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r>
      <w:tr>
        <w:trPr/>
        <w:tc>
          <w:tcPr>
            <w:tcW w:w="33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Purchases of property and equipment and internal-use software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(24,744</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(9,183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(41,089</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(11,837</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r>
      <w:tr>
        <w:trPr/>
        <w:tc>
          <w:tcPr>
            <w:tcW w:w="336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Free Cash Flow</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112"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(106,309</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6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973"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(37,265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(185,199</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5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(96,456</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r>
    </w:tbl>
    <w:p>
      <w:pPr>
        <w:pStyle w:val="TextBody"/>
        <w:bidi w:val="0"/>
        <w:spacing w:lineRule="auto" w:line="319" w:before="120" w:after="120"/>
        <w:jc w:val="left"/>
        <w:rPr>
          <w:rFonts w:ascii="AvenirNext LT Pro Regular;sans-serif" w:hAnsi="AvenirNext LT Pro Regular;sans-serif"/>
          <w:i/>
          <w:color w:val="000000"/>
          <w:sz w:val="16"/>
        </w:rPr>
      </w:pPr>
      <w:r>
        <w:rPr>
          <w:rFonts w:ascii="AvenirNext LT Pro Regular;sans-serif" w:hAnsi="AvenirNext LT Pro Regular;sans-serif"/>
          <w:i/>
          <w:color w:val="000000"/>
          <w:sz w:val="16"/>
        </w:rPr>
        <w:t>(1) Represents costs incurred related to the IPO that do not meet the direct and incremental criteria per SEC Staff Accounting Bulletin Topic 5.A that were netted against the gross proceeds of the IPO and are not expected to recur in the future.</w:t>
      </w:r>
    </w:p>
    <w:p>
      <w:pPr>
        <w:pStyle w:val="TextBody"/>
        <w:bidi w:val="0"/>
        <w:spacing w:lineRule="auto" w:line="319" w:before="0" w:after="120"/>
        <w:jc w:val="left"/>
        <w:rPr>
          <w:rFonts w:ascii="AvenirNext LT Pro Regular;sans-serif" w:hAnsi="AvenirNext LT Pro Regular;sans-serif"/>
          <w:i/>
          <w:color w:val="000000"/>
          <w:sz w:val="16"/>
        </w:rPr>
      </w:pPr>
      <w:r>
        <w:rPr>
          <w:rFonts w:ascii="AvenirNext LT Pro Regular;sans-serif" w:hAnsi="AvenirNext LT Pro Regular;sans-serif"/>
          <w:i/>
          <w:color w:val="000000"/>
          <w:sz w:val="16"/>
        </w:rPr>
        <w:t>(2) Other includes loss on foreign exchange.</w:t>
      </w:r>
    </w:p>
    <w:p>
      <w:pPr>
        <w:pStyle w:val="TextBody"/>
        <w:bidi w:val="0"/>
        <w:spacing w:lineRule="auto" w:line="273"/>
        <w:jc w:val="left"/>
        <w:rPr/>
      </w:pPr>
      <w:r>
        <w:rPr/>
        <w:t> </w:t>
      </w:r>
    </w:p>
    <w:p>
      <w:pPr>
        <w:pStyle w:val="TextBody"/>
        <w:bidi w:val="0"/>
        <w:spacing w:lineRule="auto" w:line="273"/>
        <w:jc w:val="left"/>
        <w:rPr/>
      </w:pPr>
      <w:r>
        <w:rPr/>
        <w:t> </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273"/>
        <w:jc w:val="center"/>
        <w:rPr/>
      </w:pPr>
      <w:r>
        <w:rPr/>
        <w:drawing>
          <wp:inline distT="0" distB="0" distL="0" distR="0">
            <wp:extent cx="1704975" cy="8858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704975" cy="885825"/>
                    </a:xfrm>
                    <a:prstGeom prst="rect">
                      <a:avLst/>
                    </a:prstGeom>
                  </pic:spPr>
                </pic:pic>
              </a:graphicData>
            </a:graphic>
          </wp:inline>
        </w:drawing>
      </w:r>
    </w:p>
    <w:tbl>
      <w:tblPr>
        <w:tblW w:w="10205" w:type="dxa"/>
        <w:jc w:val="left"/>
        <w:tblInd w:w="0" w:type="dxa"/>
        <w:tblLayout w:type="fixed"/>
        <w:tblCellMar>
          <w:top w:w="28" w:type="dxa"/>
          <w:left w:w="28" w:type="dxa"/>
          <w:bottom w:w="28" w:type="dxa"/>
          <w:right w:w="28" w:type="dxa"/>
        </w:tblCellMar>
      </w:tblPr>
      <w:tblGrid>
        <w:gridCol w:w="3367"/>
        <w:gridCol w:w="146"/>
        <w:gridCol w:w="266"/>
        <w:gridCol w:w="1047"/>
        <w:gridCol w:w="214"/>
        <w:gridCol w:w="172"/>
        <w:gridCol w:w="266"/>
        <w:gridCol w:w="994"/>
        <w:gridCol w:w="181"/>
        <w:gridCol w:w="146"/>
        <w:gridCol w:w="248"/>
        <w:gridCol w:w="1058"/>
        <w:gridCol w:w="199"/>
        <w:gridCol w:w="160"/>
        <w:gridCol w:w="248"/>
        <w:gridCol w:w="1058"/>
        <w:gridCol w:w="435"/>
      </w:tblGrid>
      <w:tr>
        <w:trPr/>
        <w:tc>
          <w:tcPr>
            <w:tcW w:w="33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59"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6"/>
              </w:rPr>
            </w:pPr>
            <w:r>
              <w:rPr>
                <w:rFonts w:ascii="AvenirNext LT Pro Regular;sans-serif" w:hAnsi="AvenirNext LT Pro Regular;sans-serif"/>
                <w:b/>
                <w:color w:val="000000"/>
                <w:sz w:val="16"/>
              </w:rPr>
              <w:t>For the Three Months Ended 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971" w:type="dxa"/>
            <w:gridSpan w:val="6"/>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6"/>
              </w:rPr>
            </w:pPr>
            <w:r>
              <w:rPr>
                <w:rFonts w:ascii="AvenirNext LT Pro Regular;sans-serif" w:hAnsi="AvenirNext LT Pro Regular;sans-serif"/>
                <w:b/>
                <w:color w:val="000000"/>
                <w:sz w:val="16"/>
              </w:rPr>
              <w:t>For the Six Months Ended June 30,</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13"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6"/>
              </w:rPr>
            </w:pPr>
            <w:r>
              <w:rPr>
                <w:rFonts w:ascii="AvenirNext LT Pro Regular;sans-serif" w:hAnsi="AvenirNext LT Pro Regular;sans-serif"/>
                <w:b/>
                <w:color w:val="000000"/>
                <w:sz w:val="16"/>
              </w:rPr>
              <w:t>2026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6"/>
              </w:rPr>
            </w:pPr>
            <w:r>
              <w:rPr>
                <w:rFonts w:ascii="AvenirNext LT Pro Regular;sans-serif" w:hAnsi="AvenirNext LT Pro Regular;sans-serif"/>
                <w:b/>
                <w:color w:val="000000"/>
                <w:sz w:val="16"/>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6"/>
              </w:rPr>
            </w:pPr>
            <w:r>
              <w:rPr>
                <w:rFonts w:ascii="AvenirNext LT Pro Regular;sans-serif" w:hAnsi="AvenirNext LT Pro Regular;sans-serif"/>
                <w:b/>
                <w:color w:val="000000"/>
                <w:sz w:val="16"/>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rFonts w:ascii="AvenirNext LT Pro Regular;sans-serif" w:hAnsi="AvenirNext LT Pro Regular;sans-serif"/>
                <w:b/>
                <w:color w:val="000000"/>
                <w:sz w:val="16"/>
              </w:rPr>
            </w:pPr>
            <w:r>
              <w:rPr>
                <w:rFonts w:ascii="AvenirNext LT Pro Regular;sans-serif" w:hAnsi="AvenirNext LT Pro Regular;sans-serif"/>
                <w:b/>
                <w:color w:val="000000"/>
                <w:sz w:val="16"/>
              </w:rPr>
              <w:t>2025</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center"/>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71,532</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45,774</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139,041</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93,786</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(8,699</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(177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(14,404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(295</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Non-GAAP Research and Development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4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62,833</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99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45,597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124,637</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93,491</w:t>
            </w:r>
          </w:p>
        </w:tc>
        <w:tc>
          <w:tcPr>
            <w:tcW w:w="43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47,540</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12,571</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93,160</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25,323</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Amortization of acquired intangibles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(5,000</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(10,000</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(8,328</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(583</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(15,135</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(896</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sz w:val="16"/>
              </w:rPr>
            </w:pPr>
            <w:r>
              <w:rPr>
                <w:rFonts w:ascii="AvenirNext LT Pro Regular;sans-serif" w:hAnsi="AvenirNext LT Pro Regular;sans-serif"/>
                <w:color w:val="000000"/>
                <w:sz w:val="16"/>
              </w:rPr>
              <w:t>One-time costs related to the IPO</w:t>
            </w:r>
            <w:r>
              <w:rPr>
                <w:rFonts w:ascii="AvenirNext LT Pro Regular;sans-serif" w:hAnsi="AvenirNext LT Pro Regular;sans-serif"/>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(1,767</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(4,220</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Transaction-related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(2,724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(4,633</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Non-GAAP 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4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31,488</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99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10,221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63,392</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20,207</w:t>
            </w:r>
          </w:p>
        </w:tc>
        <w:tc>
          <w:tcPr>
            <w:tcW w:w="43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119,072</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58,345</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232,201</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119,109</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Amortization of acquired intangibles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(5,000</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(10,000</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(17,027</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(760</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(29,539</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(1,191</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sz w:val="16"/>
              </w:rPr>
            </w:pPr>
            <w:r>
              <w:rPr>
                <w:rFonts w:ascii="AvenirNext LT Pro Regular;sans-serif" w:hAnsi="AvenirNext LT Pro Regular;sans-serif"/>
                <w:color w:val="000000"/>
                <w:sz w:val="16"/>
              </w:rPr>
              <w:t>One-time costs related to the IPO</w:t>
            </w:r>
            <w:r>
              <w:rPr>
                <w:rFonts w:ascii="AvenirNext LT Pro Regular;sans-serif" w:hAnsi="AvenirNext LT Pro Regular;sans-serif"/>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(1,767</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(4,220</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Transaction-related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(2,724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(4,633</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Non-GAAP Operating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4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94,321</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99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55,818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188,029</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113,698</w:t>
            </w:r>
          </w:p>
        </w:tc>
        <w:tc>
          <w:tcPr>
            <w:tcW w:w="43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(95,197</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(54,350</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(190,865</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(112,894</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Amortization of acquired intangibles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5,000</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10,000</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17,027</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760</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29,539</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1,191</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sz w:val="16"/>
              </w:rPr>
            </w:pPr>
            <w:r>
              <w:rPr>
                <w:rFonts w:ascii="AvenirNext LT Pro Regular;sans-serif" w:hAnsi="AvenirNext LT Pro Regular;sans-serif"/>
                <w:color w:val="000000"/>
                <w:sz w:val="16"/>
              </w:rPr>
              <w:t>One-time costs related to the IPO</w:t>
            </w:r>
            <w:r>
              <w:rPr>
                <w:rFonts w:ascii="AvenirNext LT Pro Regular;sans-serif" w:hAnsi="AvenirNext LT Pro Regular;sans-serif"/>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1,767</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4,220</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Transaction-related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2,724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4,633</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Non-GAAP Loss from Operations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4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(70,446</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99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(51,823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(146,693</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(107,483</w:t>
            </w:r>
          </w:p>
        </w:tc>
        <w:tc>
          <w:tcPr>
            <w:tcW w:w="43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2,843</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(9,428</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1,902</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(10,977</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Change in fair value of warrant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625</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4,191</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4,309</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5,107</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Gain on settlement of contingent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(926</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(1,307</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sz w:val="16"/>
              </w:rPr>
            </w:pPr>
            <w:r>
              <w:rPr>
                <w:rFonts w:ascii="AvenirNext LT Pro Regular;sans-serif" w:hAnsi="AvenirNext LT Pro Regular;sans-serif"/>
                <w:color w:val="000000"/>
                <w:sz w:val="16"/>
              </w:rPr>
              <w:t>Other</w:t>
            </w:r>
            <w:r>
              <w:rPr>
                <w:rFonts w:ascii="AvenirNext LT Pro Regular;sans-serif" w:hAnsi="AvenirNext LT Pro Regular;sans-serif"/>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Non-GAAP Other Income (Expense)</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4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2,542</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99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(5,237</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4,919</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(5,870</w:t>
            </w:r>
          </w:p>
        </w:tc>
        <w:tc>
          <w:tcPr>
            <w:tcW w:w="43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(92,319</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(63,778</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(188,995</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(123,871</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Income tax effect of business acquisitions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128</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128</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Amortization of acquired intangibles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5,000</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10,000</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17,027</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760</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29,539</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1,191</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625</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4,191</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4,309</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5,107</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sz w:val="16"/>
              </w:rPr>
            </w:pPr>
            <w:r>
              <w:rPr>
                <w:rFonts w:ascii="AvenirNext LT Pro Regular;sans-serif" w:hAnsi="AvenirNext LT Pro Regular;sans-serif"/>
                <w:color w:val="000000"/>
                <w:sz w:val="16"/>
              </w:rPr>
              <w:t>One-time costs related to the IPO</w:t>
            </w:r>
            <w:r>
              <w:rPr>
                <w:rFonts w:ascii="AvenirNext LT Pro Regular;sans-serif" w:hAnsi="AvenirNext LT Pro Regular;sans-serif"/>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1,767</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4,220</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Transaction-related expenses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2,724</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4,633</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Gain on settlement of contingent liabilities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(926</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(1,307</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color w:val="000000"/>
                <w:sz w:val="16"/>
              </w:rPr>
            </w:pPr>
            <w:r>
              <w:rPr>
                <w:rFonts w:ascii="AvenirNext LT Pro Regular;sans-serif" w:hAnsi="AvenirNext LT Pro Regular;sans-serif"/>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ind w:left="0" w:right="0" w:firstLine="200"/>
              <w:jc w:val="lef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ind w:left="200" w:right="0" w:firstLine="200"/>
              <w:jc w:val="left"/>
              <w:rPr>
                <w:rFonts w:ascii="Times New Roman" w:hAnsi="Times New Roman"/>
                <w:sz w:val="16"/>
              </w:rPr>
            </w:pPr>
            <w:r>
              <w:rPr>
                <w:rFonts w:ascii="AvenirNext LT Pro Regular;sans-serif" w:hAnsi="AvenirNext LT Pro Regular;sans-serif"/>
                <w:color w:val="000000"/>
                <w:sz w:val="16"/>
              </w:rPr>
              <w:t>Other</w:t>
            </w:r>
            <w:r>
              <w:rPr>
                <w:rFonts w:ascii="AvenirNext LT Pro Regular;sans-serif" w:hAnsi="AvenirNext LT Pro Regular;sans-serif"/>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color w:val="000000"/>
                <w:sz w:val="16"/>
              </w:rPr>
            </w:pPr>
            <w:r>
              <w:rPr>
                <w:rFonts w:ascii="AvenirNext LT Pro Regular;sans-serif" w:hAnsi="AvenirNext LT Pro Regular;sans-serif"/>
                <w:color w:val="000000"/>
                <w:sz w:val="16"/>
              </w:rPr>
              <w:t>15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c>
          <w:tcPr>
            <w:tcW w:w="1058"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right"/>
              <w:rPr>
                <w:color w:val="000000"/>
              </w:rPr>
            </w:pPr>
            <w:r>
              <w:rPr>
                <w:color w:val="000000"/>
              </w:rPr>
              <w:t>—</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lineRule="auto" w:line="252" w:before="0" w:after="283"/>
              <w:jc w:val="lef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Non-GAAP Net Loss</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47"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(67,741</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994"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(57,060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(141,678</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8"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(113,353</w:t>
            </w:r>
          </w:p>
        </w:tc>
        <w:tc>
          <w:tcPr>
            <w:tcW w:w="435" w:type="dxa"/>
            <w:tcBorders>
              <w:bottom w:val="double" w:sz="6" w:space="0" w:color="000000"/>
            </w:tcBorders>
            <w:shd w:fill="FFFFFF" w:val="clear"/>
            <w:tcMar>
              <w:top w:w="0" w:type="dxa"/>
              <w:left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Basic and diluted 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161,784</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13,877</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160,711</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13,659</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pPr>
            <w:r>
              <w:rPr/>
              <w:t> </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GAAP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(0.57</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(5.78</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(1.18</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(11.17</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r>
      <w:tr>
        <w:trPr/>
        <w:tc>
          <w:tcPr>
            <w:tcW w:w="3367"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Non-GAAP 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(0.42</w:t>
            </w:r>
          </w:p>
        </w:tc>
        <w:tc>
          <w:tcPr>
            <w:tcW w:w="214"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(4.11</w:t>
            </w:r>
          </w:p>
        </w:tc>
        <w:tc>
          <w:tcPr>
            <w:tcW w:w="181"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(0.88</w:t>
            </w:r>
          </w:p>
        </w:tc>
        <w:tc>
          <w:tcPr>
            <w:tcW w:w="199"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60"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c>
          <w:tcPr>
            <w:tcW w:w="1058"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AvenirNext LT Pro Regular;sans-serif" w:hAnsi="AvenirNext LT Pro Regular;sans-serif"/>
                <w:b/>
                <w:color w:val="000000"/>
                <w:sz w:val="16"/>
              </w:rPr>
            </w:pPr>
            <w:r>
              <w:rPr>
                <w:rFonts w:ascii="AvenirNext LT Pro Regular;sans-serif" w:hAnsi="AvenirNext LT Pro Regular;sans-serif"/>
                <w:b/>
                <w:color w:val="000000"/>
                <w:sz w:val="16"/>
              </w:rPr>
              <w:t>(8.30</w:t>
            </w:r>
          </w:p>
        </w:tc>
        <w:tc>
          <w:tcPr>
            <w:tcW w:w="435"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AvenirNext LT Pro Regular;sans-serif" w:hAnsi="AvenirNext LT Pro Regular;sans-serif"/>
                <w:b/>
                <w:color w:val="000000"/>
                <w:sz w:val="16"/>
              </w:rPr>
            </w:pPr>
            <w:r>
              <w:rPr>
                <w:rFonts w:ascii="AvenirNext LT Pro Regular;sans-serif" w:hAnsi="AvenirNext LT Pro Regular;sans-serif"/>
                <w:b/>
                <w:color w:val="000000"/>
                <w:sz w:val="16"/>
              </w:rPr>
              <w:t>)</w:t>
            </w:r>
          </w:p>
        </w:tc>
      </w:tr>
    </w:tbl>
    <w:p>
      <w:pPr>
        <w:pStyle w:val="TextBody"/>
        <w:bidi w:val="0"/>
        <w:spacing w:lineRule="auto" w:line="319" w:before="120" w:after="120"/>
        <w:jc w:val="left"/>
        <w:rPr>
          <w:rFonts w:ascii="AvenirNext LT Pro Regular;sans-serif" w:hAnsi="AvenirNext LT Pro Regular;sans-serif"/>
          <w:i/>
          <w:color w:val="000000"/>
          <w:sz w:val="16"/>
        </w:rPr>
      </w:pPr>
      <w:r>
        <w:rPr>
          <w:rFonts w:ascii="AvenirNext LT Pro Regular;sans-serif" w:hAnsi="AvenirNext LT Pro Regular;sans-serif"/>
          <w:i/>
          <w:color w:val="000000"/>
          <w:sz w:val="16"/>
        </w:rPr>
        <w:t>(1) Represents costs incurred related to the IPO that do not meet the direct and incremental criteria per SEC Staff Accounting Bulletin Topic 5.A that were netted against the gross proceeds of the IPO and are not expected to recur in the future.</w:t>
      </w:r>
    </w:p>
    <w:p>
      <w:pPr>
        <w:pStyle w:val="TextBody"/>
        <w:bidi w:val="0"/>
        <w:spacing w:lineRule="auto" w:line="319" w:before="0" w:after="120"/>
        <w:jc w:val="left"/>
        <w:rPr>
          <w:rFonts w:ascii="AvenirNext LT Pro Regular;sans-serif" w:hAnsi="AvenirNext LT Pro Regular;sans-serif"/>
          <w:i/>
          <w:color w:val="000000"/>
          <w:sz w:val="16"/>
        </w:rPr>
      </w:pPr>
      <w:r>
        <w:rPr>
          <w:rFonts w:ascii="AvenirNext LT Pro Regular;sans-serif" w:hAnsi="AvenirNext LT Pro Regular;sans-serif"/>
          <w:i/>
          <w:color w:val="000000"/>
          <w:sz w:val="16"/>
        </w:rPr>
        <w:t>(2) Other includes loss on foreign exchange.</w:t>
      </w:r>
    </w:p>
    <w:p>
      <w:pPr>
        <w:pStyle w:val="TextBody"/>
        <w:bidi w:val="0"/>
        <w:spacing w:lineRule="auto" w:line="273"/>
        <w:ind w:left="0" w:right="0" w:firstLine="720"/>
        <w:jc w:val="center"/>
        <w:rPr>
          <w:rFonts w:ascii="Times New Roman" w:hAnsi="Times New Roman"/>
          <w:color w:val="000000"/>
          <w:sz w:val="20"/>
        </w:rPr>
      </w:pPr>
      <w:r>
        <w:rPr>
          <w:rFonts w:ascii="Times New Roman" w:hAnsi="Times New Roman"/>
          <w:color w:val="000000"/>
          <w:sz w:val="20"/>
        </w:rPr>
        <w:t>***</w:t>
      </w:r>
    </w:p>
    <w:p>
      <w:pPr>
        <w:pStyle w:val="TextBody"/>
        <w:bidi w:val="0"/>
        <w:spacing w:lineRule="auto" w:line="27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ova">
    <w:altName w:val="sans-serif"/>
    <w:charset w:val="01"/>
    <w:family w:val="auto"/>
    <w:pitch w:val="default"/>
  </w:font>
  <w:font w:name="Aptos">
    <w:altName w:val="sans-serif"/>
    <w:charset w:val="01"/>
    <w:family w:val="auto"/>
    <w:pitch w:val="default"/>
  </w:font>
  <w:font w:name="AvenirNext LT Pro Regular">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5148</Words>
  <Characters>28779</Characters>
  <CharactersWithSpaces>34727</CharactersWithSpaces>
  <Paragraphs>3328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