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AEROEQUITY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 INDUSTRIAL PARTNERS,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6700 BROKEN SOUND PKWY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653"/>
        <w:gridCol w:w="1349"/>
        <w:gridCol w:w="972"/>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42,215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17,683,007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32,980,210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(2)(3)(5)</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AEROEQUITY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 INDUSTRIAL PARTNERS,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6700 BROKEN SOUND PKWY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Glow NS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 INDUSTRIAL PARTNERS,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6700 BROKEN SOUND PKWY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Glow Holdings Aggregator,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 INDUSTRIAL PARTNERS,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6700 BROKEN SOUND PKWY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GREENE MICHAEL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 INDUSTRIAL PARTNERS,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6700 BROKEN SOUND PKWY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ROWE DAVID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 INDUSTRIAL PARTNERS,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6700 BROKEN SOUND PKWY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 pro rata distribution for no consideration by Glow Holdings Aggregator, LLC ("Glow Holdings Aggregator") to its limited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Glow NS Holdings, LLC is controlled by Glow NS Intermediate Holdings, LLC, its sole member. Glow NS Intermediate Holdings LLC is controlled by Glow Aggregator, LLC, its sole member. Glow Aggregator, LLC is controlled by AE Industrial Partners Fund II, L.P., its managing member. AE Industrial Partners Fund II, L.P. is controlled by AE Industrial Partners Fund II GP, LP ("AE Fund II GP"), its general partner. Glow Holdings Aggregator is controlled by AE Co-Investment Partners Fund III-F, LP, its managing member. AE Co-Investment Partners Fund III-F, LP is controlled by AE Industrial Partners Fund III GP, LP ("AE Fund III GP"), its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AE Fund II GP and AE Fund III GP are each managed by each entity's respective general partner, AeroEquity GP, LLC. AeroEquity GP, LLC is controlled by its managing members, Michael Greene and David Rowe. Messrs. Greene and Rowe make all voting and investment decisions with respect to the securities held by AE Industrial Partners. Each of the entities and individuals named above disclaims beneficial ownership of the securities held by AE Industrial Partners, except to the extent of its pecuniary interest therein. The amounts reported as held have been adjusted to reflect an error in allocation among the direct holding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by Glow Holdings Aggregator.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by Glow NS Holdings,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by David Rowe.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AeroEquity GP, LLC /s/ Michael Greene,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Glow NS Holdings, LLC /s/ Kirk Konert,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Glow Holdings Aggregator, LLC /s/ Kirk Konert,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Greene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 Rowe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792"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80792" TargetMode="External"/><Relationship Id="rId9" Type="http://schemas.openxmlformats.org/officeDocument/2006/relationships/hyperlink" Target="http://www.sec.gov/cgi-bin/browse-edgar?action=getcompany&amp;CIK=0002079112" TargetMode="External"/><Relationship Id="rId10" Type="http://schemas.openxmlformats.org/officeDocument/2006/relationships/hyperlink" Target="http://www.sec.gov/cgi-bin/browse-edgar?action=getcompany&amp;CIK=0002136777" TargetMode="External"/><Relationship Id="rId11" Type="http://schemas.openxmlformats.org/officeDocument/2006/relationships/hyperlink" Target="http://www.sec.gov/cgi-bin/browse-edgar?action=getcompany&amp;CIK=0001881294" TargetMode="External"/><Relationship Id="rId12" Type="http://schemas.openxmlformats.org/officeDocument/2006/relationships/hyperlink" Target="http://www.sec.gov/cgi-bin/browse-edgar?action=getcompany&amp;CIK=0001880788"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1026</Words>
  <Characters>5534</Characters>
  <CharactersWithSpaces>6401</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