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q226_424b3.htm"/>
        <w:bookmarkStart w:id="1" w:name="ksq226_424b3"/>
        <w:bookmarkEnd w:id="0"/>
        <w:bookmarkEnd w:id="1"/>
        <w:r>
          <w:rPr>
            <w:rStyle w:val="InternetLink"/>
            <w:rFonts w:ascii="Times New Roman" w:hAnsi="Times New Roman"/>
            <w:b/>
            <w:color w:val="0000FF"/>
            <w:sz w:val="20"/>
            <w:u w:val="single"/>
          </w:rPr>
          <w:t>Table of Contents</w:t>
        </w:r>
      </w:hyperlink>
    </w:p>
    <w:p>
      <w:pPr>
        <w:pStyle w:val="TextBody"/>
        <w:bidi w:val="0"/>
        <w:jc w:val="center"/>
        <w:rPr/>
      </w:pPr>
      <w:r>
        <w:rPr/>
        <w:t> </w:t>
      </w:r>
    </w:p>
    <w:tbl>
      <w:tblPr>
        <w:tblW w:w="5417" w:type="dxa"/>
        <w:jc w:val="left"/>
        <w:tblInd w:w="0" w:type="dxa"/>
        <w:tblLayout w:type="fixed"/>
        <w:tblCellMar>
          <w:top w:w="28" w:type="dxa"/>
          <w:left w:w="28" w:type="dxa"/>
          <w:bottom w:w="28" w:type="dxa"/>
          <w:right w:w="28" w:type="dxa"/>
        </w:tblCellMar>
      </w:tblPr>
      <w:tblGrid>
        <w:gridCol w:w="3001"/>
        <w:gridCol w:w="2416"/>
      </w:tblGrid>
      <w:tr>
        <w:trPr/>
        <w:tc>
          <w:tcPr>
            <w:tcW w:w="300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Prospectus Supplement No. 9</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 Prospectus dated December 19, 2025)</w:t>
            </w:r>
          </w:p>
        </w:tc>
        <w:tc>
          <w:tcPr>
            <w:tcW w:w="241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6"/>
              </w:rPr>
            </w:pPr>
            <w:r>
              <w:rPr>
                <w:rFonts w:ascii="Times New Roman" w:hAnsi="Times New Roman"/>
                <w:color w:val="000000"/>
                <w:sz w:val="16"/>
              </w:rPr>
              <w:t>Filed Pursuant to Rule 424(b)(3)</w:t>
            </w:r>
          </w:p>
          <w:p>
            <w:pPr>
              <w:pStyle w:val="TableContents"/>
              <w:bidi w:val="0"/>
              <w:jc w:val="right"/>
              <w:rPr>
                <w:rFonts w:ascii="Times New Roman" w:hAnsi="Times New Roman"/>
                <w:color w:val="000000"/>
                <w:sz w:val="16"/>
              </w:rPr>
            </w:pPr>
            <w:r>
              <w:rPr>
                <w:rFonts w:ascii="Times New Roman" w:hAnsi="Times New Roman"/>
                <w:color w:val="000000"/>
                <w:sz w:val="16"/>
              </w:rPr>
              <w:t>Registration No. 333-291599</w:t>
            </w:r>
          </w:p>
          <w:p>
            <w:pPr>
              <w:pStyle w:val="TableContents"/>
              <w:bidi w:val="0"/>
              <w:jc w:val="right"/>
              <w:rPr/>
            </w:pPr>
            <w:r>
              <w:rPr/>
              <w:t> </w:t>
            </w:r>
          </w:p>
          <w:p>
            <w:pPr>
              <w:pStyle w:val="TableContents"/>
              <w:bidi w:val="0"/>
              <w:jc w:val="right"/>
              <w:rPr/>
            </w:pPr>
            <w:r>
              <w:rPr/>
              <w:t> </w:t>
            </w:r>
          </w:p>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11,111,116 Shares</w:t>
      </w:r>
    </w:p>
    <w:p>
      <w:pPr>
        <w:pStyle w:val="TextBody"/>
        <w:bidi w:val="0"/>
        <w:spacing w:before="0" w:after="240"/>
        <w:jc w:val="center"/>
        <w:rPr/>
      </w:pPr>
      <w:r>
        <w:rPr/>
        <w:drawing>
          <wp:inline distT="0" distB="0" distL="0" distR="0">
            <wp:extent cx="32194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19450" cy="561975"/>
                    </a:xfrm>
                    <a:prstGeom prst="rect">
                      <a:avLst/>
                    </a:prstGeom>
                  </pic:spPr>
                </pic:pic>
              </a:graphicData>
            </a:graphic>
          </wp:inline>
        </w:drawing>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Common Stock</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18"/>
        </w:rPr>
        <w:t>This prospectus supplement updates and supplements the prospectus dated December 19, 2025, as supplemented or amended from time to time (the “Prospectus”), which forms a part of our Registration Statement on Form S-1 (Registration No. 333-291599). This prospectus supplement is being filed to update and supplement the information in the Prospectus with the information contained in our Quarterly Report on Form 10-Q, filed with the Securities and Exchange Commission on August 11, 2026 (the “Current Report”). Accordingly, we have attached the Quarterly Report to this prospectus supplement.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Prospectus relates to the offer and sale from time to time by the selling securityholders named in the Prospectus (the “Selling Securityholders”) of up to 11,111,116 shares of Common Stock, par value $0.0001 per share (the “Common Stock”) of Firefly Aerospace Inc. (“Firefly Aerospace”) that were received by such Selling Securityholders as consideration in connection with Firefly Aerospace’s acquisition of SciTec Innovations, LLC, a Delaware limited liability company.</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This prospectus supplement should be read in conjunction with the Prospectus. This prospectus supplement updates and supplements the information in the Prospectus. If there is any inconsistency between the information in the Prospectus and this prospectus supplement, you should rely on the information in this prospectus supplement.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Our Common Stock is listed on the Nasdaq Global Market under the symbol “FLY”. On August 10, 2026, the closing price of our Common Stock was $25.76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Investing in our Common Stock involves risks. See “Risk Factors” beginning on page 9 of the Prospectus, and under similar headings in any further amendments or supplements to the Prospectus.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date of this prospectus supplement is August 11,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smallCaps/>
          <w:color w:val="000000"/>
          <w:sz w:val="24"/>
        </w:rPr>
        <w:t>W</w:t>
      </w:r>
      <w:r>
        <w:rPr>
          <w:rFonts w:ascii="Times New Roman" w:hAnsi="Times New Roman"/>
          <w:b/>
          <w:color w:val="000000"/>
          <w:sz w:val="24"/>
        </w:rPr>
        <w:t>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001-42789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742" w:type="dxa"/>
        <w:jc w:val="left"/>
        <w:tblInd w:w="0" w:type="dxa"/>
        <w:tblLayout w:type="fixed"/>
        <w:tblCellMar>
          <w:top w:w="28" w:type="dxa"/>
          <w:left w:w="28" w:type="dxa"/>
          <w:bottom w:w="28" w:type="dxa"/>
          <w:right w:w="28" w:type="dxa"/>
        </w:tblCellMar>
      </w:tblPr>
      <w:tblGrid>
        <w:gridCol w:w="292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2203 Scottsdale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Leander, TX</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78641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512 893-5570</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2941"/>
        <w:gridCol w:w="146"/>
        <w:gridCol w:w="946"/>
        <w:gridCol w:w="146"/>
        <w:gridCol w:w="466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6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(Nasdaq Global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As of August 6, 2026, the registrant had 167,404,645 shares of common stock, $0.0001 par value,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8608"/>
        <w:gridCol w:w="737"/>
      </w:tblGrid>
      <w:tr>
        <w:trPr/>
        <w:tc>
          <w:tcPr>
            <w:tcW w:w="860" w:type="dxa"/>
            <w:tcBorders/>
            <w:vAlign w:val="center"/>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financialinformation">
              <w:r>
                <w:rPr>
                  <w:rStyle w:val="InternetLink"/>
                  <w:rFonts w:ascii="Times New Roman" w:hAnsi="Times New Roman"/>
                  <w:color w:val="0000FF"/>
                  <w:sz w:val="20"/>
                  <w:u w:val="single"/>
                </w:rPr>
                <w:t>FINANCIAL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fit_loss">
              <w:r>
                <w:rPr>
                  <w:rStyle w:val="InternetLink"/>
                  <w:rFonts w:ascii="Times New Roman" w:hAnsi="Times New Roman"/>
                  <w:color w:val="0000FF"/>
                  <w:sz w:val="20"/>
                  <w:u w:val="single"/>
                </w:rPr>
                <w:t>Condensed Consolidated Statements of Net Loss and Comprehensive Loss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Statements of Cash Flows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equity">
              <w:r>
                <w:rPr>
                  <w:rStyle w:val="InternetLink"/>
                  <w:rFonts w:ascii="Times New Roman" w:hAnsi="Times New Roman"/>
                  <w:color w:val="0000FF"/>
                  <w:sz w:val="20"/>
                  <w:u w:val="single"/>
                </w:rPr>
                <w:t>Condensed Consolidated Statements of Convertible Preferred Stock and Stockholders’ Equity (Deficit)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the_fs">
              <w:r>
                <w:rPr>
                  <w:rStyle w:val="InternetLink"/>
                  <w:rFonts w:ascii="Times New Roman" w:hAnsi="Times New Roman"/>
                  <w:color w:val="0000FF"/>
                  <w:sz w:val="20"/>
                  <w:u w:val="single"/>
                </w:rPr>
                <w:t>Notes to Condensed Consolidated 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
              <w:r>
                <w:rPr>
                  <w:rStyle w:val="InternetLink"/>
                  <w:rFonts w:ascii="Times New Roman" w:hAnsi="Times New Roman"/>
                  <w:color w:val="0000FF"/>
                  <w:sz w:val="20"/>
                  <w:u w:val="single"/>
                </w:rPr>
                <w:t>Management’s Discussion and Analysis of Financial Condition and Results of Operations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
              <w:r>
                <w:rPr>
                  <w:rStyle w:val="InternetLink"/>
                  <w:rFonts w:ascii="Times New Roman" w:hAnsi="Times New Roman"/>
                  <w:color w:val="0000FF"/>
                  <w:sz w:val="20"/>
                  <w:u w:val="single"/>
                </w:rPr>
                <w:t>Quantitative and Qualitative Disclosures About Market Risk</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
              <w:r>
                <w:rPr>
                  <w:rStyle w:val="InternetLink"/>
                  <w:rFonts w:ascii="Times New Roman" w:hAnsi="Times New Roman"/>
                  <w:color w:val="0000FF"/>
                  <w:sz w:val="20"/>
                  <w:u w:val="single"/>
                </w:rPr>
                <w:t>Controls and Procedures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
              <w:r>
                <w:rPr>
                  <w:rStyle w:val="InternetLink"/>
                  <w:rFonts w:ascii="Times New Roman" w:hAnsi="Times New Roman"/>
                  <w:color w:val="0000FF"/>
                  <w:sz w:val="20"/>
                  <w:u w:val="single"/>
                </w:rPr>
                <w:t>Legal Proceedings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a">
              <w:r>
                <w:rPr>
                  <w:rStyle w:val="InternetLink"/>
                  <w:rFonts w:ascii="Times New Roman" w:hAnsi="Times New Roman"/>
                  <w:color w:val="0000FF"/>
                  <w:sz w:val="20"/>
                  <w:u w:val="single"/>
                </w:rPr>
                <w:t>Risk Factors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2">
              <w:r>
                <w:rPr>
                  <w:rStyle w:val="InternetLink"/>
                  <w:rFonts w:ascii="Times New Roman" w:hAnsi="Times New Roman"/>
                  <w:color w:val="0000FF"/>
                  <w:sz w:val="20"/>
                  <w:u w:val="single"/>
                </w:rPr>
                <w:t>Unregistered Sales of Equity Securities and Use of Proceeds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
              <w:r>
                <w:rPr>
                  <w:rStyle w:val="InternetLink"/>
                  <w:rFonts w:ascii="Times New Roman" w:hAnsi="Times New Roman"/>
                  <w:color w:val="0000FF"/>
                  <w:sz w:val="20"/>
                  <w:u w:val="single"/>
                </w:rPr>
                <w:t>Defaults Upon Senior Securities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4">
              <w:r>
                <w:rPr>
                  <w:rStyle w:val="InternetLink"/>
                  <w:rFonts w:ascii="Times New Roman" w:hAnsi="Times New Roman"/>
                  <w:color w:val="0000FF"/>
                  <w:sz w:val="20"/>
                  <w:u w:val="single"/>
                </w:rPr>
                <w:t>Mine Safety Disclosures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5">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6">
              <w:r>
                <w:rPr>
                  <w:rStyle w:val="InternetLink"/>
                  <w:rFonts w:ascii="Times New Roman" w:hAnsi="Times New Roman"/>
                  <w:color w:val="0000FF"/>
                  <w:sz w:val="20"/>
                  <w:u w:val="single"/>
                </w:rPr>
                <w:t>Exhibits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bookmarkStart w:id="3" w:name="part1_financialinformation"/>
      <w:bookmarkEnd w:id="3"/>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of Firefly Aerospace Inc. (the “Company,” “Firefly,” “we,” “us” or “our”) contains forward-looking statements. Statements included in this Quarterly Report on Form 10-Q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statements regarding the expected benefits of the acquisition of SciTec, Inc. (“SciTec”), and other statements regarding our future expectations, beliefs, plans, strategies, objectives, prospects, assumptions, or future events or performance contained in this Quarterly Report on Form 10-Q are forward-looking statements. Some of the factors that could cause actual results to differ materially from those expressed or implied by the forward-looking statements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including the wide and unique range of risks due to the unpredictability of space;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 for commercial launch services for small- and medium-sized payloads not achieving the growth potential we expect;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impacts from future disruptions in U.S. government operations, including as a result of delays or reduction in appropriations or regulatory approvals from our programs, or changes in U.S. government funding and budgetary priorities and spending levels;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successful in developing new technology;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 global macroeconomic and political conditions, including the implementation of tariffs and the Iran conflict;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information technology systems, physical or electronic security protections;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operate Alpha at our anticipated launch rate (including due to potential regulatory delays) or finalize the development and delivery of Eclipse;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programs;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fluctuation of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publicity stemming from any incident involving us, our competitors, or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shortfalls in available external research and development funding;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comply with our contractual obligations;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establish and maintain important relationships with government agencies and prime contractors;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relating to the laws, security requirements, regulations and policies applicable to government contracting;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realize our backlog;</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dependence on our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evolving government laws and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 benefits and synergies in connection with the SciTec acquisition;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implement and maintain effective internal control over financial reporting in the future;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generate sufficient cash to service our indebtedness;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factors detailed under the section of our Annual Report on Form 10-K entitled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hereof. We undertake no obligation to update any forward-looking statements after the date of this Quarterly Report on Form 10-Q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terms the “Company,” “Firefly,” “we,” “our,” “us” and similar terms used herein refer collectively to Firefly Aerospace Inc., a Delaware corporation, and its consolidated subsidiaries, unless otherwise stated.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bookmarkStart w:id="5" w:name="item_1"/>
      <w:bookmarkEnd w:id="5"/>
      <w:r>
        <w:rPr>
          <w:rFonts w:ascii="Times New Roman" w:hAnsi="Times New Roman"/>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6986"/>
        <w:gridCol w:w="146"/>
        <w:gridCol w:w="196"/>
        <w:gridCol w:w="886"/>
        <w:gridCol w:w="166"/>
        <w:gridCol w:w="146"/>
        <w:gridCol w:w="196"/>
        <w:gridCol w:w="890"/>
        <w:gridCol w:w="593"/>
      </w:tblGrid>
      <w:tr>
        <w:trPr/>
        <w:tc>
          <w:tcPr>
            <w:tcW w:w="6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46,129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963,175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165,709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450,119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213,581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634,995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Commitments and contingencies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$0.0001 par value, 1,000,000 shares authorized as of June 30, 2026 and December 31, 2025; 166,207 and 159,276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2,210,201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1,189,939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6" w:name="profit_loss"/>
      <w:bookmarkEnd w:id="6"/>
      <w:r>
        <w:rPr>
          <w:rFonts w:ascii="Times New Roman" w:hAnsi="Times New Roman"/>
          <w:b/>
          <w:color w:val="000000"/>
          <w:sz w:val="20"/>
        </w:rPr>
        <w:t>Condensed Consolidated Statements of Net Loss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51"/>
        <w:gridCol w:w="146"/>
        <w:gridCol w:w="265"/>
        <w:gridCol w:w="983"/>
        <w:gridCol w:w="208"/>
        <w:gridCol w:w="183"/>
        <w:gridCol w:w="265"/>
        <w:gridCol w:w="926"/>
        <w:gridCol w:w="166"/>
        <w:gridCol w:w="146"/>
        <w:gridCol w:w="241"/>
        <w:gridCol w:w="964"/>
        <w:gridCol w:w="190"/>
        <w:gridCol w:w="167"/>
        <w:gridCol w:w="241"/>
        <w:gridCol w:w="964"/>
        <w:gridCol w:w="599"/>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93,808</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23,875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41,336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139,041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93,786</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119,072</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232,201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119,109</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(95,197</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(190,865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(112,894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(92,354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(188,963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(152,544</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9540" w:type="dxa"/>
        <w:jc w:val="left"/>
        <w:tblInd w:w="0" w:type="dxa"/>
        <w:tblLayout w:type="fixed"/>
        <w:tblCellMar>
          <w:top w:w="28" w:type="dxa"/>
          <w:left w:w="28" w:type="dxa"/>
          <w:bottom w:w="28" w:type="dxa"/>
          <w:right w:w="28" w:type="dxa"/>
        </w:tblCellMar>
      </w:tblPr>
      <w:tblGrid>
        <w:gridCol w:w="5651"/>
        <w:gridCol w:w="246"/>
        <w:gridCol w:w="235"/>
        <w:gridCol w:w="904"/>
        <w:gridCol w:w="199"/>
        <w:gridCol w:w="175"/>
        <w:gridCol w:w="235"/>
        <w:gridCol w:w="904"/>
        <w:gridCol w:w="991"/>
      </w:tblGrid>
      <w:tr>
        <w:trPr/>
        <w:tc>
          <w:tcPr>
            <w:tcW w:w="5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(123,871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 in fair value of warrant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on settlement of contingent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Advanced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Contract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(144,110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(84,619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 and internal-use software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for acquisitions of businesses, net of acquired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(119,780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(11,837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184,111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Preferred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184,116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notes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debt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repayment of employee note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notes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 of Revolving Credit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exercise of stock options, net of shares withheld for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(69,259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180,441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(decrease) increase in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(333,149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83,985</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Balance,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137,558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459,817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221,543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 cash and cash equivalents and restricted cash at the end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459,817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221,543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tbl>
      <w:tblPr>
        <w:tblW w:w="8267" w:type="dxa"/>
        <w:jc w:val="left"/>
        <w:tblInd w:w="0" w:type="dxa"/>
        <w:tblLayout w:type="fixed"/>
        <w:tblCellMar>
          <w:top w:w="28" w:type="dxa"/>
          <w:left w:w="28" w:type="dxa"/>
          <w:bottom w:w="28" w:type="dxa"/>
          <w:right w:w="28" w:type="dxa"/>
        </w:tblCellMar>
      </w:tblPr>
      <w:tblGrid>
        <w:gridCol w:w="4976"/>
        <w:gridCol w:w="246"/>
        <w:gridCol w:w="276"/>
        <w:gridCol w:w="846"/>
        <w:gridCol w:w="205"/>
        <w:gridCol w:w="205"/>
        <w:gridCol w:w="276"/>
        <w:gridCol w:w="846"/>
        <w:gridCol w:w="391"/>
      </w:tblGrid>
      <w:tr>
        <w:trPr/>
        <w:tc>
          <w:tcPr>
            <w:tcW w:w="49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Increase in accounts payable for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acquired through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Capitalized interest (paid-in-kind)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issued for business combination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offering costs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issuance costs incurred but unpaid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debt in exchange of software licenses and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internal-use software licenses and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finance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purchase consideration for acquisition of businesses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8" w:name="statement_of_equity"/>
      <w:bookmarkEnd w:id="8"/>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3"/>
        <w:gridCol w:w="146"/>
        <w:gridCol w:w="168"/>
        <w:gridCol w:w="373"/>
        <w:gridCol w:w="157"/>
        <w:gridCol w:w="157"/>
        <w:gridCol w:w="213"/>
        <w:gridCol w:w="380"/>
        <w:gridCol w:w="146"/>
        <w:gridCol w:w="146"/>
        <w:gridCol w:w="146"/>
        <w:gridCol w:w="146"/>
        <w:gridCol w:w="586"/>
        <w:gridCol w:w="146"/>
        <w:gridCol w:w="146"/>
        <w:gridCol w:w="196"/>
        <w:gridCol w:w="375"/>
        <w:gridCol w:w="146"/>
        <w:gridCol w:w="146"/>
        <w:gridCol w:w="181"/>
        <w:gridCol w:w="691"/>
        <w:gridCol w:w="151"/>
        <w:gridCol w:w="146"/>
        <w:gridCol w:w="146"/>
        <w:gridCol w:w="181"/>
        <w:gridCol w:w="736"/>
        <w:gridCol w:w="151"/>
        <w:gridCol w:w="146"/>
        <w:gridCol w:w="187"/>
        <w:gridCol w:w="718"/>
        <w:gridCol w:w="199"/>
      </w:tblGrid>
      <w:tr>
        <w:trPr/>
        <w:tc>
          <w:tcPr>
            <w:tcW w:w="2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159,276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2,210,201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(1,020,279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1,189,939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37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5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160,067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2,221,822</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(1,116,955</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1,104,884</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net of underwriting discounts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181,612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related to 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10,144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37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5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166,207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2,432,182</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(1,209,274</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1,222,925</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646"/>
        <w:gridCol w:w="146"/>
        <w:gridCol w:w="146"/>
        <w:gridCol w:w="511"/>
        <w:gridCol w:w="146"/>
        <w:gridCol w:w="146"/>
        <w:gridCol w:w="181"/>
        <w:gridCol w:w="586"/>
        <w:gridCol w:w="146"/>
        <w:gridCol w:w="146"/>
        <w:gridCol w:w="146"/>
        <w:gridCol w:w="146"/>
        <w:gridCol w:w="511"/>
        <w:gridCol w:w="146"/>
        <w:gridCol w:w="146"/>
        <w:gridCol w:w="196"/>
        <w:gridCol w:w="375"/>
        <w:gridCol w:w="146"/>
        <w:gridCol w:w="146"/>
        <w:gridCol w:w="214"/>
        <w:gridCol w:w="571"/>
        <w:gridCol w:w="151"/>
        <w:gridCol w:w="146"/>
        <w:gridCol w:w="146"/>
        <w:gridCol w:w="181"/>
        <w:gridCol w:w="631"/>
        <w:gridCol w:w="151"/>
        <w:gridCol w:w="146"/>
        <w:gridCol w:w="202"/>
        <w:gridCol w:w="709"/>
        <w:gridCol w:w="199"/>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759,582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48,446</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887,074</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13,745</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(838,726</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(838,724</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(16,485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(63,778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(63,778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52,543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973,371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(917,998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(917,996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b/>
          <w:color w:val="000000"/>
          <w:sz w:val="20"/>
        </w:rPr>
      </w:pPr>
      <w:bookmarkStart w:id="9" w:name="notes_tothe_fs"/>
      <w:bookmarkEnd w:id="9"/>
      <w:r>
        <w:rPr>
          <w:rFonts w:ascii="Times New Roman" w:hAnsi="Times New Roman"/>
          <w:b/>
          <w:color w:val="000000"/>
          <w:sz w:val="20"/>
        </w:rPr>
        <w:t>1. The Company and Initial Public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Firefly Aerospace Inc. (“Firefly” or the “Company”) is headquartered in Cedar Park, Texas. The Company was incorporated under the laws of the State of Delaware on January 27, 2017 and commenced operations on May 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completed an initial public offering (“IPO”) of shares of its common stock, par value $0.0001 per share. The Company’s common stock trades on the NASDAQ under the ticker “FLY.”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space and defense technology company providing comprehensive mission solutions to national security, government, and commercial customers with an established track record of success. The Company’s mission is to reliably and repeatedly launch, land, and operate space systems from Earth to the Moon and beyond. Backed by a world-class team and proven technology, Firefly has designed, developed, and deployed its launch vehicles and dynamic spacecraft solutions to support critical customer missions across the space domain. The Company’s vertically-integrated approach encompasses the design, manufacturing and operation of small and medium launch vehicles, landers and spacecraft, as well as the development of complementary remote sensor, missile defense, and command and control software systems. Its purpose-built family of products aligns with the ongoing paradigm shift in government missions and procurement processes, where speed, efficiency, and economics drive customer decision-making. Through its offerings across launch and spacecraft solutions, its vertically-integrated product line, and its infrastructure, Firefly is a partner of choice for national security, government, and commercial customers for their critical space missions.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Firefly’s formation, it has established itself as a category leader across a diverse range of products and services that takes a comprehensive approach to providing a family of solutions to its customers’ space-based opportunities.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October 31, 2025, the Company completed its acquisition of SciTec, Inc. (“SciTec”), a leader in advanced national security technologies. The acquisition advanced the Company’s comprehensive space services by adding mission-proven defense software analytics, remote sensor, and multi-phenomenology data expertise. SciTec’s core capabilities – which include missile warning, tracking and defense, intelligence, surveillance and reconnaissance, space domain awareness, and autonomous command and control – supplement Firefly’s launch, lunar, and in-space services. SciTec has further added ground and onboard data processing as well as AI-enabled systems designed for low latency operations to support advanced threat tracking and response across multiple domains.</w:t>
      </w:r>
    </w:p>
    <w:p>
      <w:pPr>
        <w:pStyle w:val="TextBody"/>
        <w:bidi w:val="0"/>
        <w:jc w:val="both"/>
        <w:rPr>
          <w:rFonts w:ascii="Times New Roman" w:hAnsi="Times New Roman"/>
          <w:color w:val="000000"/>
          <w:sz w:val="20"/>
        </w:rPr>
      </w:pPr>
      <w:r>
        <w:rPr>
          <w:rFonts w:ascii="Times New Roman" w:hAnsi="Times New Roman"/>
          <w:color w:val="000000"/>
          <w:sz w:val="20"/>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operation as a manufacturing company, capable of producing and selling products at scale, on the date that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$1.2 billion as of June 30, 2026, and has incurred $144.1 million and $84.6 million in negative cash flows from operations during the six months ended June 30, 2026 and 2025, respectively.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of the Company have been prepared in accordance with generally accepted accounting principles in the United States of America (“U.S. GAAP”) and the rules and regulations of the Securities and Exchange Commission (the “SEC”) for interim financial information. Certain information and disclosures normally included in the audited consolidated financial statements have been condensed or omitted pursuant to such rules and regulations. 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interim periods. The results for the interim period are not necessarily indicative of the results that may be expected for a full year. All intercompany balances and transactions have been eliminated.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U.S. GAAP, which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 </w:t>
      </w:r>
    </w:p>
    <w:p>
      <w:pPr>
        <w:pStyle w:val="TextBody"/>
        <w:bidi w:val="0"/>
        <w:jc w:val="both"/>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Certain immaterial prior period amounts have been reclassified to conform to the current period presentation.</w:t>
      </w:r>
    </w:p>
    <w:p>
      <w:pPr>
        <w:pStyle w:val="TextBody"/>
        <w:bidi w:val="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expected credit losses based on relevant information about past events,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When measuring expected credit losses, the Company pools similar country risk and credit risk characteristics. Changes in the relevant information may significantly affect the estimates of expected credit losses. The Company writes off accounts receivable that have become uncollectible.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Major customers are defined as those individually comprising more than 10% of the Company’s total revenue. The Company’s revenue related to its major customers during the three and six months ended June 30, 2026 and 2025 was as follows:</w:t>
      </w:r>
    </w:p>
    <w:tbl>
      <w:tblPr>
        <w:tblW w:w="8458" w:type="dxa"/>
        <w:jc w:val="left"/>
        <w:tblInd w:w="0" w:type="dxa"/>
        <w:tblLayout w:type="fixed"/>
        <w:tblCellMar>
          <w:top w:w="28" w:type="dxa"/>
          <w:left w:w="28" w:type="dxa"/>
          <w:bottom w:w="28" w:type="dxa"/>
          <w:right w:w="28" w:type="dxa"/>
        </w:tblCellMar>
      </w:tblPr>
      <w:tblGrid>
        <w:gridCol w:w="1151"/>
        <w:gridCol w:w="146"/>
        <w:gridCol w:w="292"/>
        <w:gridCol w:w="933"/>
        <w:gridCol w:w="542"/>
        <w:gridCol w:w="292"/>
        <w:gridCol w:w="292"/>
        <w:gridCol w:w="933"/>
        <w:gridCol w:w="271"/>
        <w:gridCol w:w="146"/>
        <w:gridCol w:w="271"/>
        <w:gridCol w:w="864"/>
        <w:gridCol w:w="503"/>
        <w:gridCol w:w="271"/>
        <w:gridCol w:w="271"/>
        <w:gridCol w:w="864"/>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customers that accounted for 10% or more of the Company’s total accounts receivable were as follows:</w:t>
      </w:r>
    </w:p>
    <w:tbl>
      <w:tblPr>
        <w:tblW w:w="4200" w:type="dxa"/>
        <w:jc w:val="left"/>
        <w:tblInd w:w="0" w:type="dxa"/>
        <w:tblLayout w:type="fixed"/>
        <w:tblCellMar>
          <w:top w:w="28" w:type="dxa"/>
          <w:left w:w="28" w:type="dxa"/>
          <w:bottom w:w="28" w:type="dxa"/>
          <w:right w:w="28" w:type="dxa"/>
        </w:tblCellMar>
      </w:tblPr>
      <w:tblGrid>
        <w:gridCol w:w="1151"/>
        <w:gridCol w:w="146"/>
        <w:gridCol w:w="193"/>
        <w:gridCol w:w="617"/>
        <w:gridCol w:w="271"/>
        <w:gridCol w:w="146"/>
        <w:gridCol w:w="300"/>
        <w:gridCol w:w="960"/>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200" w:after="200"/>
        <w:jc w:val="both"/>
        <w:rPr>
          <w:rFonts w:ascii="Times New Roman" w:hAnsi="Times New Roman"/>
          <w:i/>
          <w:color w:val="000000"/>
          <w:sz w:val="20"/>
          <w:u w:val="single"/>
        </w:rPr>
      </w:pPr>
      <w:r>
        <w:rPr>
          <w:rFonts w:ascii="Times New Roman" w:hAnsi="Times New Roman"/>
          <w:i/>
          <w:color w:val="000000"/>
          <w:sz w:val="20"/>
          <w:u w:val="single"/>
        </w:rPr>
        <w:t>Recently Issued Accounting Pronouncements Not Yet Adopted</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2023-06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which incorporates certain SEC disclosure requirements into the FASB Accounting Standards Codification (“ASC”). The amendments in the ASU are expected to clarify or improve disclosure and presentation requirements of a variety of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The amendments in this ASU are to be applied prospectively. The Company does not expect that ASU 2023-06 will have a material impact on its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60"/>
        <w:jc w:val="both"/>
        <w:rPr>
          <w:rFonts w:ascii="Times New Roman" w:hAnsi="Times New Roman"/>
          <w:b/>
          <w:i/>
          <w:color w:val="000000"/>
          <w:sz w:val="20"/>
        </w:rPr>
      </w:pPr>
      <w:r>
        <w:rPr>
          <w:rFonts w:ascii="Times New Roman" w:hAnsi="Times New Roman"/>
          <w:b/>
          <w:i/>
          <w:color w:val="000000"/>
          <w:sz w:val="20"/>
        </w:rPr>
        <w:t>ASU 2024-03</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In January 2025, the FASB issued ASU 2025-01, Income Statement—Reporting Comprehensive Income—Expense Disaggregation Disclosures,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the ASU.</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2025-11</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clarifies the applicability of ASC 270, </w:t>
      </w:r>
      <w:r>
        <w:rPr>
          <w:rFonts w:ascii="Times New Roman" w:hAnsi="Times New Roman"/>
          <w:i/>
          <w:color w:val="000000"/>
          <w:sz w:val="20"/>
        </w:rPr>
        <w:t>Interim Reporting</w:t>
      </w:r>
      <w:r>
        <w:rPr>
          <w:rFonts w:ascii="Times New Roman" w:hAnsi="Times New Roman"/>
          <w:color w:val="000000"/>
          <w:sz w:val="20"/>
        </w:rPr>
        <w:t xml:space="preserve">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The Company is in the process of evaluating the impact of this guidance on its financial statements; however, the Company does not expect that it will have a material impact on its consolidated financial statements.</w:t>
      </w:r>
    </w:p>
    <w:p>
      <w:pPr>
        <w:pStyle w:val="TextBody"/>
        <w:bidi w:val="0"/>
        <w:spacing w:before="40" w:after="200"/>
        <w:jc w:val="both"/>
        <w:rPr>
          <w:rFonts w:ascii="Times New Roman" w:hAnsi="Times New Roman"/>
          <w:i/>
          <w:color w:val="000000"/>
          <w:sz w:val="20"/>
          <w:u w:val="single"/>
        </w:rPr>
      </w:pPr>
      <w:r>
        <w:rPr>
          <w:rFonts w:ascii="Times New Roman" w:hAnsi="Times New Roman"/>
          <w:i/>
          <w:color w:val="000000"/>
          <w:sz w:val="20"/>
          <w:u w:val="single"/>
        </w:rPr>
        <w:t>Recently Adopted Accounting Pronouncements</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2025-05</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entities with a practical expedient to simplify the estimation of expected credit losses on current accounts receivable and current contract assets that arise from transactions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by allowing the assumption that conditions as of the balance sheet date will not change during the remaining life of the asset. ASU 2025-05 is effective for annual periods beginning after December 15, 2025 and interim periods within those annual reporting periods, with early adoption permitted. The Company elected to apply the practical expedient in its assessment of the allowance for credit losses as of January 1, 2026, which did not have a material impact on the Company’s consolidated financial statements and related disclosures.</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2025-06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to improve the operability and application of guidance related to capitalized software development costs. ASU 2025-06 is effective for fiscal years beginning after December 15, 2027, and interim reporting periods within those annual reporting periods, with early adoption permitted. The guidance may be applied prospectively, retrospectively, or using a modified retrospective basis that is based on the status of the project and whether software costs were capitalized before the date of adoption. The Company early adopted ASU 2025-06 effective January 1, 2026 on a prospective basis. The adoption of ASU 2025-06 did not have a material impact on the Company’s consolidated financial statements and related disclosures.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3. Business Combinations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Space-ng</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On June 23, 2026, the Company completed the acquisition of all of the outstanding capital stock of Space-ng Inc. (“Space-ng”) in exchange for purchase consideration of $16.0 million, consisting of approximately $0.4 million in cash, $2.3 million in deferred cash payments, $10.1 million in common stock, and $3.2 million of certain other net assets recorded by the Company related to arrangements in place between Firefly and Space-ng at the time of acquisition. Space-ng is a leader in AI-powered vision navigation and autonomous guidance systems. At the acquisition date, the fair value of the assets acquired was $17.7 million, inclusive of $2.5 million of finite-lived intangible assets and $13.5 million of goodwill. The fair value of liabilities assumed was $1.7 million. The Company issued 515,767 shares of common stock in connection with the acquisition. Of the total 515,767 shares issued, 142,955 shares were issued in exchange for unvested restricted stock of Space-ng and those shares remain subject to each holder’s continued employment with the Company over a period of four years. These shares were not accounted for as purchase consideration and will be accounted for separately as stock-based compensation in accordance with ASC 718, </w:t>
      </w:r>
      <w:r>
        <w:rPr>
          <w:rFonts w:ascii="Times New Roman" w:hAnsi="Times New Roman"/>
          <w:i/>
          <w:color w:val="000000"/>
          <w:sz w:val="20"/>
        </w:rPr>
        <w:t>Compensation — Stock Compensation</w:t>
      </w:r>
      <w:r>
        <w:rPr>
          <w:rFonts w:ascii="Times New Roman" w:hAnsi="Times New Roman"/>
          <w:color w:val="000000"/>
          <w:sz w:val="20"/>
        </w:rPr>
        <w: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Goodwill recognized from this acquisition, which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xml:space="preserve">, is primarily attributable to expected synergies. The Company expects to finalize the purchase price allocation for the acquisition within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allowable measurement period. Pro forma results of operations have not been presented as the impact of the acquisition on the Company’s consolidated financial results is not material.</w:t>
      </w:r>
    </w:p>
    <w:p>
      <w:pPr>
        <w:pStyle w:val="TextBody"/>
        <w:bidi w:val="0"/>
        <w:jc w:val="both"/>
        <w:rPr>
          <w:rFonts w:ascii="Times New Roman" w:hAnsi="Times New Roman"/>
          <w:b/>
          <w:i/>
          <w:color w:val="000000"/>
          <w:sz w:val="20"/>
        </w:rPr>
      </w:pPr>
      <w:r>
        <w:rPr>
          <w:rFonts w:ascii="Times New Roman" w:hAnsi="Times New Roman"/>
          <w:b/>
          <w:i/>
          <w:color w:val="000000"/>
          <w:sz w:val="20"/>
        </w:rPr>
        <w:t>SciTec</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October 31, 2025, the Company completed the acquisition of all of the outstanding capital stock of SciTec for a purchase price of $550.3 million, consisting of $277.4 million in cash, net of cash acquired, $269.6 million in common stock, and a $3.3 million post-closing working capital adjustment. SciTec has over four decades of experience and offers industry-leading AI-enabled defense software applications and big data processing capabilities in the forms of cloud-based, on-premise, and edge processing of high volumes of data from satellites across all orbits that are complementary to Firefly’s launch, lunar, and in-space vehicles. This acquisition is expected to complement the Company’s full-service hardware and software offerings to space and defense customers. SciTec is based in Princeton, New Jersey, and has facilities in Boulder, Colorado; El Segundo, California; Fairborn, Ohio; Huntsville, Alabama; and Herndon, Virginia.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acquisition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with the Company identified as the acquirer. The purchase price allocation as of the date of acquisition was based on a preliminary valuation and is subject to revision as more detailed analyses are completed and additional information about the fair value of assets acquired and liabilities assumed becomes available during the measurement period, a period not to exceed 12 months from the acquisition date. In connection with the acquisition, the Company incurred acquisition-related costs of $24.4 million, which were expensed as incurred on the date of closing.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sets forth the consideration paid, the fair value of the assets acquired, and liabilities assumed at the acquisition date, as well as the measurement period adjustments recorded as of June 30, 2026:</w:t>
      </w:r>
    </w:p>
    <w:tbl>
      <w:tblPr>
        <w:tblW w:w="10205" w:type="dxa"/>
        <w:jc w:val="left"/>
        <w:tblInd w:w="0" w:type="dxa"/>
        <w:tblLayout w:type="fixed"/>
        <w:tblCellMar>
          <w:top w:w="28" w:type="dxa"/>
          <w:left w:w="28" w:type="dxa"/>
          <w:bottom w:w="28" w:type="dxa"/>
          <w:right w:w="28" w:type="dxa"/>
        </w:tblCellMar>
      </w:tblPr>
      <w:tblGrid>
        <w:gridCol w:w="2231"/>
        <w:gridCol w:w="146"/>
        <w:gridCol w:w="588"/>
        <w:gridCol w:w="2191"/>
        <w:gridCol w:w="146"/>
        <w:gridCol w:w="146"/>
        <w:gridCol w:w="307"/>
        <w:gridCol w:w="834"/>
        <w:gridCol w:w="146"/>
        <w:gridCol w:w="146"/>
        <w:gridCol w:w="664"/>
        <w:gridCol w:w="2466"/>
        <w:gridCol w:w="194"/>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of 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Adjusted as of June 30,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working capital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655,481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fair value of the property and equipment, and working capital items including accounts receivable, other current assets, accounts payable, accrued expenses, and other current liabilities, approximates their respective carrying values at the date of the acquisition, as well as the adjustments recorded during the measurement period. Operating lease liabilities were remeasured at the present value of the remaining lease payments using the Company’s incremental borrowing rate as of the acquisition date. The corresponding right-of-use assets were measured at an amount equal to the remeasured lease liabilities.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fair value of acquired identifiable intangible assets at the date of the acquisition:</w:t>
      </w:r>
    </w:p>
    <w:tbl>
      <w:tblPr>
        <w:tblW w:w="6935" w:type="dxa"/>
        <w:jc w:val="left"/>
        <w:tblInd w:w="0" w:type="dxa"/>
        <w:tblLayout w:type="fixed"/>
        <w:tblCellMar>
          <w:top w:w="28" w:type="dxa"/>
          <w:left w:w="28" w:type="dxa"/>
          <w:bottom w:w="28" w:type="dxa"/>
          <w:right w:w="28" w:type="dxa"/>
        </w:tblCellMar>
      </w:tblPr>
      <w:tblGrid>
        <w:gridCol w:w="2806"/>
        <w:gridCol w:w="146"/>
        <w:gridCol w:w="332"/>
        <w:gridCol w:w="1228"/>
        <w:gridCol w:w="146"/>
        <w:gridCol w:w="146"/>
        <w:gridCol w:w="213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the acquisition date, trade name and trademarks, developed technology, and customer relationships are classified as finite-lived intangible assets and are subject to annual impairment assessments under ASC 350-30-35-18 through 35-20.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fair value of the acquired intangible assets, including trade name and trademarks and developed technology was determined </w:t>
      </w:r>
      <w:r>
        <w:rPr>
          <w:rFonts w:ascii="Times New Roman" w:hAnsi="Times New Roman"/>
          <w:color w:val="231F20"/>
          <w:sz w:val="20"/>
        </w:rPr>
        <w:t>using the</w:t>
      </w:r>
      <w:r>
        <w:rPr>
          <w:rFonts w:ascii="Times New Roman" w:hAnsi="Times New Roman"/>
          <w:color w:val="000000"/>
          <w:sz w:val="20"/>
        </w:rPr>
        <w:t xml:space="preserve"> relief from royalty method, while customer relationships were determined using the multi-period excess earnings method. Significant a</w:t>
      </w:r>
      <w:r>
        <w:rPr>
          <w:rFonts w:ascii="Times New Roman" w:hAnsi="Times New Roman"/>
          <w:color w:val="231F20"/>
          <w:sz w:val="20"/>
        </w:rPr>
        <w:t xml:space="preserve">ssumptions used in the determination of the fair values include forecasted revenue growth rates, assumed royalty rates and the market-participant discount rate. </w:t>
      </w:r>
      <w:r>
        <w:rPr>
          <w:rFonts w:ascii="Times New Roman" w:hAnsi="Times New Roman"/>
          <w:color w:val="000000"/>
          <w:sz w:val="20"/>
        </w:rPr>
        <w:t xml:space="preserve">The useful life used in the valuation analysis was based on the economic life of each intangible asset. The Company assessed the economic useful life of these intangibles and concluded that these periods will be used as the amortization periods going forward.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consideration of the nature of the amortization, management has concluded that the most appropriate way to reflect the economic benefits of the pattern in which the benefits are realized is to reflect the amortization in a manner consistent with the cash flow build up by period reflected in the valuation report.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determining the useful lives and amortization policy to apply to the intangible assets acquired, the Company assessed the pattern in which the economic benefits of the assets are consumed. Based on this assessment, the Company amortizes its intangible assets based on the methodology that approximates the pattern in which it expects to benefit economically from these acquired intangible assets. The useful life is also derived from the time period over which the majority of the cash flows are expected to be generated. The Company will employ the useful lives identified through this exercise and amortize amounts using the economic consumption of the intangible asset over the accounting useful life for amortization of the associated intangible asset. </w:t>
      </w:r>
    </w:p>
    <w:p>
      <w:pPr>
        <w:pStyle w:val="TextBody"/>
        <w:bidi w:val="0"/>
        <w:jc w:val="both"/>
        <w:rPr>
          <w:rFonts w:ascii="Times New Roman" w:hAnsi="Times New Roman"/>
          <w:color w:val="000000"/>
          <w:sz w:val="20"/>
        </w:rPr>
      </w:pPr>
      <w:r>
        <w:rPr>
          <w:rFonts w:ascii="Times New Roman" w:hAnsi="Times New Roman"/>
          <w:color w:val="000000"/>
          <w:sz w:val="20"/>
        </w:rPr>
        <w:t>Goodwill generated from this business combination is primarily attributable to expected synergies from the transaction and incremental revenue and profit to be derived from the Company’s expansion into full-service hardware and software for its space and defense customers. The goodwill is not expected to be deductible for U.S. income tax purposes.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Unaudited Pro Forma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unaudited pro forma financial information presents the combined results of operations as if SciTec had been acquired as of the beginning of fiscal year 2025. The unaudited pro forma results include certain adjustments to revenue and net loss directly attributable to each acquisition, including transaction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SciTec acquisition, transaction costs of approximately $29.6 million are assumed to have been incurred on January 1, 2025 and recognized during 2025, of which $24.4 million were incurred by SciTec and $5.2 million were incurred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financial information is presented for informational purposes only and is not necessarily indicative of the consolidated results of operations of the combined businesses had the acquisitions actually occurred at the beginning of the respective periods, nor is it indicative of the future results of operations of the combined businesses.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42"/>
        <w:gridCol w:w="146"/>
        <w:gridCol w:w="661"/>
        <w:gridCol w:w="2307"/>
        <w:gridCol w:w="166"/>
        <w:gridCol w:w="146"/>
        <w:gridCol w:w="566"/>
        <w:gridCol w:w="2258"/>
        <w:gridCol w:w="213"/>
      </w:tblGrid>
      <w:tr>
        <w:trPr/>
        <w:tc>
          <w:tcPr>
            <w:tcW w:w="3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Revenue</w:t>
      </w:r>
    </w:p>
    <w:p>
      <w:pPr>
        <w:pStyle w:val="TextBody"/>
        <w:bidi w:val="0"/>
        <w:spacing w:before="200" w:after="200"/>
        <w:jc w:val="both"/>
        <w:rPr>
          <w:rFonts w:ascii="Times New Roman" w:hAnsi="Times New Roman"/>
          <w:sz w:val="20"/>
        </w:rPr>
      </w:pPr>
      <w:r>
        <w:rPr>
          <w:rFonts w:ascii="Times New Roman" w:hAnsi="Times New Roman"/>
          <w:color w:val="000000"/>
          <w:sz w:val="20"/>
        </w:rPr>
        <w:t>The following table presents revenue disaggregated by type for the three and six months ended June 30, 2026 and 2025</w:t>
      </w:r>
      <w:r>
        <w:rPr>
          <w:rFonts w:ascii="Times New Roman" w:hAnsi="Times New Roman"/>
          <w:b/>
          <w:color w:val="000000"/>
          <w:sz w:val="20"/>
        </w:rPr>
        <w:t>:</w:t>
      </w:r>
    </w:p>
    <w:tbl>
      <w:tblPr>
        <w:tblW w:w="10131" w:type="dxa"/>
        <w:jc w:val="left"/>
        <w:tblInd w:w="0" w:type="dxa"/>
        <w:tblLayout w:type="fixed"/>
        <w:tblCellMar>
          <w:top w:w="28" w:type="dxa"/>
          <w:left w:w="28" w:type="dxa"/>
          <w:bottom w:w="28" w:type="dxa"/>
          <w:right w:w="28" w:type="dxa"/>
        </w:tblCellMar>
      </w:tblPr>
      <w:tblGrid>
        <w:gridCol w:w="2476"/>
        <w:gridCol w:w="346"/>
        <w:gridCol w:w="319"/>
        <w:gridCol w:w="1182"/>
        <w:gridCol w:w="220"/>
        <w:gridCol w:w="220"/>
        <w:gridCol w:w="319"/>
        <w:gridCol w:w="1023"/>
        <w:gridCol w:w="346"/>
        <w:gridCol w:w="346"/>
        <w:gridCol w:w="296"/>
        <w:gridCol w:w="1095"/>
        <w:gridCol w:w="204"/>
        <w:gridCol w:w="204"/>
        <w:gridCol w:w="296"/>
        <w:gridCol w:w="948"/>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117,683</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198,562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jc w:val="both"/>
        <w:rPr>
          <w:rFonts w:ascii="Times New Roman" w:hAnsi="Times New Roman"/>
          <w:color w:val="000000"/>
          <w:sz w:val="20"/>
        </w:rPr>
      </w:pPr>
      <w:r>
        <w:rPr>
          <w:rFonts w:ascii="Times New Roman" w:hAnsi="Times New Roman"/>
          <w:color w:val="000000"/>
          <w:sz w:val="20"/>
        </w:rPr>
        <w:t>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the estimate of total costs to be incurred for a contract exceeds the total estimate of revenue to be earned, a provision for the entire loss on the contract is recognized in the period the loss is identified. Engineering services billed hourly are recognized over time.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Spacecraft Solutions revenue includes revenue from contracts with commercial and government entities to provide end-to-end services to integrate payloads into Blue Ghost and Elytra for transport to the Moon and on-orbit space domain awareness missions, as well as to develop and provide software, sensor, and data processing capabilities for national defense missions. These contracts include firm-fixed-price, time and materials, and cost-plus pricing structures. For commercial payload services we consider the performance obligation to be the integration and delivery of customer payloads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the Company, or (2) the customer receives and consumes benefits as work is completed and the Company has an enforceable right to payment for performance completed to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For Spacecraft Solutions arrangements,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estimated.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obtains substantially all of the economic benefits, determined at contract inception,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the Company considers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the following practical expedients for Launch and Spacecraft Solutions revenue: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(3) the Company does not account for shipping and handling activities as a separate performance obligation, but rather as an activity performed to transfer the promised good or service, and (4) the Company will allocate the total consideration expected to be received from the customer to the total goods or services expected to be provided to the customer, including any expected contract term renewals.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includes in its computation of remaining performance obligations customer orders for which it has accepted signed sales orders. Due to their nature, time and materials contracts contain variable consideration; however, in general, the Company’s performance obligations under time and materials contracts qualify for the “right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upon billing the Company has a right to consideration from a customer in an amount that directly corresponds with the value to the customer of the Company’s performance completed to date. At June 30, 2026, the aggregate amount of the transaction price allocated to remaining performance obligations was $563.7 million. External factors, such as customer and supplier acceleration or delays, can affect the timing of revenue recognized on performance obligations. The Company expects to recognize approximately 42% of its remaining performance obligations as revenue within the next 12 months, and approximately 21% of its remaining performance obligations for the following 12 months, with the remaining approximately 37% expected to be recognized thereafter. The remaining performance obligations do not include variable consideration that was determined to be constrained.</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Unbilled receivables are contract assets that are classified as trade receivables because only the passage of time is required before payment of that consideration is due. Unbilled receivables are recorded within accounts receivable on the unaudited condensed consolidated balance sheets. Contract assets that are not unbilled receivables are separately presented on the unaudited condensed consolidated balance sheets. Contract liabilities are recorded within deferred revenue on the unaudited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Contract assets consisted of the following:</w:t>
      </w:r>
    </w:p>
    <w:tbl>
      <w:tblPr>
        <w:tblW w:w="5990" w:type="dxa"/>
        <w:jc w:val="left"/>
        <w:tblInd w:w="0" w:type="dxa"/>
        <w:tblLayout w:type="fixed"/>
        <w:tblCellMar>
          <w:top w:w="28" w:type="dxa"/>
          <w:left w:w="28" w:type="dxa"/>
          <w:bottom w:w="28" w:type="dxa"/>
          <w:right w:w="28" w:type="dxa"/>
        </w:tblCellMar>
      </w:tblPr>
      <w:tblGrid>
        <w:gridCol w:w="2061"/>
        <w:gridCol w:w="346"/>
        <w:gridCol w:w="303"/>
        <w:gridCol w:w="972"/>
        <w:gridCol w:w="146"/>
        <w:gridCol w:w="146"/>
        <w:gridCol w:w="409"/>
        <w:gridCol w:w="1316"/>
        <w:gridCol w:w="2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Deferred revenue consisted of the following:</w:t>
      </w:r>
    </w:p>
    <w:tbl>
      <w:tblPr>
        <w:tblW w:w="6200" w:type="dxa"/>
        <w:jc w:val="left"/>
        <w:tblInd w:w="0" w:type="dxa"/>
        <w:tblLayout w:type="fixed"/>
        <w:tblCellMar>
          <w:top w:w="28" w:type="dxa"/>
          <w:left w:w="28" w:type="dxa"/>
          <w:bottom w:w="28" w:type="dxa"/>
          <w:right w:w="28" w:type="dxa"/>
        </w:tblCellMar>
      </w:tblPr>
      <w:tblGrid>
        <w:gridCol w:w="2271"/>
        <w:gridCol w:w="346"/>
        <w:gridCol w:w="271"/>
        <w:gridCol w:w="1004"/>
        <w:gridCol w:w="146"/>
        <w:gridCol w:w="146"/>
        <w:gridCol w:w="367"/>
        <w:gridCol w:w="1358"/>
        <w:gridCol w:w="2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and 2025, the Company recognized $53.3 million and $55.7 million, respectively, of revenue that was included in the contract liabilities balance at the beginning of each period.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Loss Contracts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in contract losses from time to time due to changes in estimated contract costs and modifications that result in changes to contract prices.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 result of unfavorable changes in estimated contract costs during the three and six months ended June 30, 2026 the Company recorded new contract loss provisions for two of its firm-fixed-price contracts. As of June 30, 2026 and December 31, 2025, the Company recorded total contract loss provisions of $11.7 million and $8.0 million, respectively.</w:t>
      </w:r>
    </w:p>
    <w:p>
      <w:pPr>
        <w:pStyle w:val="TextBody"/>
        <w:bidi w:val="0"/>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Property and equipment, net consisted of the following as of June 30, 2026 and December 31, 2025:</w:t>
      </w:r>
    </w:p>
    <w:tbl>
      <w:tblPr>
        <w:tblW w:w="5932" w:type="dxa"/>
        <w:jc w:val="left"/>
        <w:tblInd w:w="0" w:type="dxa"/>
        <w:tblLayout w:type="fixed"/>
        <w:tblCellMar>
          <w:top w:w="28" w:type="dxa"/>
          <w:left w:w="28" w:type="dxa"/>
          <w:bottom w:w="28" w:type="dxa"/>
          <w:right w:w="28" w:type="dxa"/>
        </w:tblCellMar>
      </w:tblPr>
      <w:tblGrid>
        <w:gridCol w:w="2731"/>
        <w:gridCol w:w="346"/>
        <w:gridCol w:w="211"/>
        <w:gridCol w:w="781"/>
        <w:gridCol w:w="166"/>
        <w:gridCol w:w="146"/>
        <w:gridCol w:w="242"/>
        <w:gridCol w:w="898"/>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stands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163,738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Depreciation expense was $6.0 million and $3.9 million for the three months ended June 30, 2026 and 2025, respectively, and $14.7 and $7.9 for the six months ended June 30, 2026 and 2025, respectively, and was recorded in the unaudited condensed consolidated statements of net loss within cost of sales, research and development, and selling, general, and administrative expenses.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Accrued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Accrued expenses consisted of the following as of:</w:t>
      </w:r>
    </w:p>
    <w:tbl>
      <w:tblPr>
        <w:tblW w:w="5837" w:type="dxa"/>
        <w:jc w:val="left"/>
        <w:tblInd w:w="0" w:type="dxa"/>
        <w:tblLayout w:type="fixed"/>
        <w:tblCellMar>
          <w:top w:w="28" w:type="dxa"/>
          <w:left w:w="28" w:type="dxa"/>
          <w:bottom w:w="28" w:type="dxa"/>
          <w:right w:w="28" w:type="dxa"/>
        </w:tblCellMar>
      </w:tblPr>
      <w:tblGrid>
        <w:gridCol w:w="2681"/>
        <w:gridCol w:w="446"/>
        <w:gridCol w:w="211"/>
        <w:gridCol w:w="676"/>
        <w:gridCol w:w="146"/>
        <w:gridCol w:w="146"/>
        <w:gridCol w:w="271"/>
        <w:gridCol w:w="869"/>
        <w:gridCol w:w="391"/>
      </w:tblGrid>
      <w:tr>
        <w:trPr/>
        <w:tc>
          <w:tcPr>
            <w:tcW w:w="26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7. Intangible Assets, Net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intangible assets gross carrying amount and accumulated amortization as of June 30, 2026 and December 31, 2025 are detailed below.</w:t>
      </w:r>
    </w:p>
    <w:tbl>
      <w:tblPr>
        <w:tblW w:w="8413" w:type="dxa"/>
        <w:jc w:val="left"/>
        <w:tblInd w:w="0" w:type="dxa"/>
        <w:tblLayout w:type="fixed"/>
        <w:tblCellMar>
          <w:top w:w="28" w:type="dxa"/>
          <w:left w:w="28" w:type="dxa"/>
          <w:bottom w:w="28" w:type="dxa"/>
          <w:right w:w="28" w:type="dxa"/>
        </w:tblCellMar>
      </w:tblPr>
      <w:tblGrid>
        <w:gridCol w:w="2206"/>
        <w:gridCol w:w="886"/>
        <w:gridCol w:w="146"/>
        <w:gridCol w:w="414"/>
        <w:gridCol w:w="1461"/>
        <w:gridCol w:w="146"/>
        <w:gridCol w:w="146"/>
        <w:gridCol w:w="250"/>
        <w:gridCol w:w="845"/>
        <w:gridCol w:w="166"/>
        <w:gridCol w:w="146"/>
        <w:gridCol w:w="311"/>
        <w:gridCol w:w="1099"/>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licenses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Internally-developed software</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152,286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63" w:type="dxa"/>
        <w:jc w:val="left"/>
        <w:tblInd w:w="0" w:type="dxa"/>
        <w:tblLayout w:type="fixed"/>
        <w:tblCellMar>
          <w:top w:w="28" w:type="dxa"/>
          <w:left w:w="28" w:type="dxa"/>
          <w:bottom w:w="28" w:type="dxa"/>
          <w:right w:w="28" w:type="dxa"/>
        </w:tblCellMar>
      </w:tblPr>
      <w:tblGrid>
        <w:gridCol w:w="2056"/>
        <w:gridCol w:w="886"/>
        <w:gridCol w:w="146"/>
        <w:gridCol w:w="414"/>
        <w:gridCol w:w="1461"/>
        <w:gridCol w:w="146"/>
        <w:gridCol w:w="146"/>
        <w:gridCol w:w="279"/>
        <w:gridCol w:w="816"/>
        <w:gridCol w:w="166"/>
        <w:gridCol w:w="146"/>
        <w:gridCol w:w="311"/>
        <w:gridCol w:w="1099"/>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171,484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165,709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capitalizes certain development costs incurred in connection with its internal-use software products including specific software upgrades and enhancements when it is probable the expenditures will result in additional features and functionality. Costs incurred prior to meeting the probable-to-complete threshold are expensed as incurred. Once the probable-to-complete threshold is satisfied, internal and external costs, if direct and incremental, are capitalized until the application is substantially complete and ready for its intended use. Capitalization ceases upon completion of all substantial testing, at which time amortization of the capitalized software begins. Internally-developed software is amortized on a straight-line basis over its estimated useful life, generally three to five years.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capitalized $3.0 million of both internal-use software licenses and software-in-development during the three months ended June 30, 2026. Capitalized costs associated with software-in-development are not amortized until the related assets are substantially complete and ready for their intended use. Amortization expense related to the Company’s finite-lived intangible assets was $7.9 million for the three months ended June 30, 2026 and $15.2 million for the six months ended June 30, 2026. The Company did not recognize any amortization expense related to its finite-lived intangible assets for the three and six months ended June 30,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presents expected amortization expense related to the Company’s intangible assets as of June 30, 2026:</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6269" w:type="dxa"/>
        <w:jc w:val="left"/>
        <w:tblInd w:w="0" w:type="dxa"/>
        <w:tblLayout w:type="fixed"/>
        <w:tblCellMar>
          <w:top w:w="28" w:type="dxa"/>
          <w:left w:w="28" w:type="dxa"/>
          <w:bottom w:w="28" w:type="dxa"/>
          <w:right w:w="28" w:type="dxa"/>
        </w:tblCellMar>
      </w:tblPr>
      <w:tblGrid>
        <w:gridCol w:w="5086"/>
        <w:gridCol w:w="211"/>
        <w:gridCol w:w="781"/>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Internally-developed software not yet subject to amortization</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152,286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Goodwill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Changes in the carrying amount of goodwill are detailed below: </w:t>
      </w:r>
    </w:p>
    <w:tbl>
      <w:tblPr>
        <w:tblW w:w="5676" w:type="dxa"/>
        <w:jc w:val="left"/>
        <w:tblInd w:w="0" w:type="dxa"/>
        <w:tblLayout w:type="fixed"/>
        <w:tblCellMar>
          <w:top w:w="28" w:type="dxa"/>
          <w:left w:w="28" w:type="dxa"/>
          <w:bottom w:w="28" w:type="dxa"/>
          <w:right w:w="28" w:type="dxa"/>
        </w:tblCellMar>
      </w:tblPr>
      <w:tblGrid>
        <w:gridCol w:w="4201"/>
        <w:gridCol w:w="146"/>
        <w:gridCol w:w="146"/>
        <w:gridCol w:w="211"/>
        <w:gridCol w:w="78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SciTec acquisition net working capital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Space-ng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 xml:space="preserve">Goodwill is defined as an asset representing the future economic benefits arising from other assets acquired in a business combination that are not individually identified and separately recognized. At June 30, 2026, the Company has only one operating segment, which represents its only reportable segment. Refer to </w:t>
      </w:r>
      <w:r>
        <w:rPr>
          <w:rFonts w:ascii="Times New Roman" w:hAnsi="Times New Roman"/>
          <w:b/>
          <w:color w:val="000000"/>
          <w:sz w:val="20"/>
        </w:rPr>
        <w:t xml:space="preserve">Note 3. Business Combinations </w:t>
      </w:r>
      <w:r>
        <w:rPr>
          <w:rFonts w:ascii="Times New Roman" w:hAnsi="Times New Roman"/>
          <w:color w:val="000000"/>
          <w:sz w:val="20"/>
        </w:rPr>
        <w:t>for further detail of the items comprising the changes in goodwill during the six months ended June 30, 2026</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the Company’s financial instruments, which include cash equivalents, accounts receivable, accounts payable, certain prepaid expenses, other current assets, accrued liabilities, and other current liabilities approximate fair value because of their short-term maturities.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Company issued warrants to purchase Series J Preferred Stock (the “Series J Warrants”) in connection with the Company’s entrance into a financing agreement pursuant to which certain term loans were made to the Company (refer to </w:t>
      </w:r>
      <w:r>
        <w:rPr>
          <w:rFonts w:ascii="Times New Roman" w:hAnsi="Times New Roman"/>
          <w:b/>
          <w:color w:val="000000"/>
          <w:sz w:val="20"/>
        </w:rPr>
        <w:t xml:space="preserve">Note 11. Notes Payable and Warrants </w:t>
      </w:r>
      <w:r>
        <w:rPr>
          <w:rFonts w:ascii="Times New Roman" w:hAnsi="Times New Roman"/>
          <w:color w:val="000000"/>
          <w:sz w:val="20"/>
        </w:rPr>
        <w:t>for further detail</w:t>
      </w:r>
      <w:r>
        <w:rPr>
          <w:rFonts w:ascii="Times New Roman" w:hAnsi="Times New Roman"/>
          <w:b/>
          <w:color w:val="000000"/>
          <w:sz w:val="20"/>
        </w:rPr>
        <w:t>)</w:t>
      </w:r>
      <w:r>
        <w:rPr>
          <w:rFonts w:ascii="Times New Roman" w:hAnsi="Times New Roman"/>
          <w:color w:val="000000"/>
          <w:sz w:val="20"/>
        </w:rPr>
        <w:t>. The Company used a Black-Scholes option-pricing valuation model to value the Series J Warrants as of June 30, 2026. The following table presents the key inputs applied in the valuation of the Series J Warrants:</w:t>
      </w:r>
    </w:p>
    <w:tbl>
      <w:tblPr>
        <w:tblW w:w="5012" w:type="dxa"/>
        <w:jc w:val="left"/>
        <w:tblInd w:w="0" w:type="dxa"/>
        <w:tblLayout w:type="fixed"/>
        <w:tblCellMar>
          <w:top w:w="28" w:type="dxa"/>
          <w:left w:w="28" w:type="dxa"/>
          <w:bottom w:w="28" w:type="dxa"/>
          <w:right w:w="28" w:type="dxa"/>
        </w:tblCellMar>
      </w:tblPr>
      <w:tblGrid>
        <w:gridCol w:w="3241"/>
        <w:gridCol w:w="260"/>
        <w:gridCol w:w="233"/>
        <w:gridCol w:w="108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25.64-25.87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the key inputs applied in the valuation of the Series J Warrants as of December 31, 2025:</w:t>
      </w:r>
    </w:p>
    <w:tbl>
      <w:tblPr>
        <w:tblW w:w="5156" w:type="dxa"/>
        <w:jc w:val="left"/>
        <w:tblInd w:w="0" w:type="dxa"/>
        <w:tblLayout w:type="fixed"/>
        <w:tblCellMar>
          <w:top w:w="28" w:type="dxa"/>
          <w:left w:w="28" w:type="dxa"/>
          <w:bottom w:w="28" w:type="dxa"/>
          <w:right w:w="28" w:type="dxa"/>
        </w:tblCellMar>
      </w:tblPr>
      <w:tblGrid>
        <w:gridCol w:w="3241"/>
        <w:gridCol w:w="352"/>
        <w:gridCol w:w="243"/>
        <w:gridCol w:w="1129"/>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each of the three and six months ended June 30, 2026 and 2025, no warrants were issued. The fair value remeasurement of the Series J Warrants resulted in an increase in fair value of $0.6 million and $4.3 million for the three and six months ended June 30, 2026 respectively. No warrants were exercised during the three and six months ended June 30,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June 30, 2026 was $16.6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635,264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16,604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December 31, 2025 was $12.3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892,974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existing operating and finance leases for corporate offices and facilities, vehicles and certain equipment. The Company’s leases have remaining terms of less than one year to 15 years, some of which include options to extend the lease term. For purposes of calculating lease liabilities, lease terms include options to extend the lease when it is reasonably certain that the Company will exercise such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1955"/>
        <w:gridCol w:w="746"/>
        <w:gridCol w:w="220"/>
        <w:gridCol w:w="596"/>
        <w:gridCol w:w="674"/>
        <w:gridCol w:w="674"/>
        <w:gridCol w:w="220"/>
        <w:gridCol w:w="439"/>
        <w:gridCol w:w="746"/>
        <w:gridCol w:w="746"/>
        <w:gridCol w:w="213"/>
        <w:gridCol w:w="578"/>
        <w:gridCol w:w="654"/>
        <w:gridCol w:w="654"/>
        <w:gridCol w:w="213"/>
        <w:gridCol w:w="578"/>
        <w:gridCol w:w="299"/>
      </w:tblGrid>
      <w:tr>
        <w:trPr/>
        <w:tc>
          <w:tcPr>
            <w:tcW w:w="19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6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948</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2,727</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1,788</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right-of-use assets was recorded within research and development, and selling, general, and administrative expenses, interest on lease liabilities was recorded within interest expense, and operating lease expense was recorded within research and development, and selling, general, and administrative expenses, each in the unaudited condensed consolidated statements of net loss.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Operating and finance lease right-of-use assets and liabilities as of June 30, 2026 and December 31, 2025 were as follows:</w:t>
      </w:r>
    </w:p>
    <w:tbl>
      <w:tblPr>
        <w:tblW w:w="6557" w:type="dxa"/>
        <w:jc w:val="left"/>
        <w:tblInd w:w="0" w:type="dxa"/>
        <w:tblLayout w:type="fixed"/>
        <w:tblCellMar>
          <w:top w:w="28" w:type="dxa"/>
          <w:left w:w="28" w:type="dxa"/>
          <w:bottom w:w="28" w:type="dxa"/>
          <w:right w:w="28" w:type="dxa"/>
        </w:tblCellMar>
      </w:tblPr>
      <w:tblGrid>
        <w:gridCol w:w="3081"/>
        <w:gridCol w:w="546"/>
        <w:gridCol w:w="211"/>
        <w:gridCol w:w="676"/>
        <w:gridCol w:w="146"/>
        <w:gridCol w:w="146"/>
        <w:gridCol w:w="299"/>
        <w:gridCol w:w="96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most of the Company’s operating leases do not provide an implicit rate, the Company uses its incremental borrowing rate based on information available at the commencement date in determining the present value of lease payments.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Failed Sale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hAnsi="Times New Roman"/>
          <w:i/>
          <w:color w:val="000000"/>
          <w:sz w:val="20"/>
        </w:rPr>
        <w:t>Leases – Sale and Leaseback Transactions</w:t>
      </w:r>
      <w:r>
        <w:rPr>
          <w:rFonts w:ascii="Times New Roman" w:hAnsi="Times New Roman"/>
          <w:color w:val="000000"/>
          <w:sz w:val="20"/>
        </w:rPr>
        <w:t>. Due to the purchase option, the transactions were accounted for as failed sales and leasebacks, and the Company has accounted for the purchase and leaseback agreements as 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the Company has reflected the manufacturing equipment on its unaudited condensed consolidated balance sheets in property and equipment, net, and recognizes depreciation expense over its estimated useful life. During the three months ended June 30, 2026, the Company recorded an initial financing liability of $2.3 million related to a new failed sale and leaseback agreement in notes payable. As of June 30, 2026, the Company’s notes payable, current and non-current, related to failed sales and leasebacks were $6.6 million and $19.5 million, respectively. As of December 31, 2025, the Company’s related notes payable, current and non-current, were $6.0 million and $21.1 million, respectively. The Company does not recognize rent expense related to these purchase and leaseback agreements. Instead, periodic lease payments are recognized as interest expense and reductions of the principal balance of the financing liability.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payments of $1.8 million were made under the purchase and leaseback agreements in addition to interest expense of $0.5 million. For the six months ended June 30, 2026, payments of $3.4 million were made under the purchase and leaseback agreements in addition to interest expense of $1.0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2025, payments of $1.4 million were made under the purchase and leaseback agreements in including interest expense of $0.6 million, and during the six months ended June 30, 2025 payments of $2.7 million were made under the purchase and leaseback agreements, including interest expense of $1.2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Notes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matured on July 17, 2028 (the “Term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obligations under the Financing Agreement were guaranteed by the Company and Guarantors, comprised of all wholly owned domestic subsidiaries of the Company other than certain excluded subsidiaries, and were secured by substantially all of the Company’s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AON Insurance Policy was issued to the Agent on behalf of the Lenders, which indemnified the Lenders up to $103.5 million of the Term A Loans for any loss incurred if the Company fails to pay the Term Loans when due. The Company paid the initial insurance premium of $15.0 million using the proceeds from the Term Loans. The Company was required to pay the insurer an exit fee equal to 0.75% of the principal amount of the Term A Loans on the date on which the loans were prepaid.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Financing Agreement required the Company to fund certain collateral accounts, comprised of interest reserve accounts and an insurance premium reserve account. Cash interest due but not paid from available unrestricted cash was payable from the interest reserve accounts, and funds deposited in the insurance premium account were used to pay the insurance premiums when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paid $18.7 million in debt issuance costs, including both lender fees and third-party costs, using the proceeds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Loans bore fixed interest rates. The interest rate for the Term A Loans was 13.875% per annum. The interest rate for the Term B Loans is 13.875% per annum from the initial closing date to the third anniversary of the initial closing date and 19.135% per annum thereafter until the Term Loan Maturity Date. Interest was computed on the basis of a 360</w:t>
        <w:noBreakHyphen/>
        <w:t>day year for the actual number of days elapsed and payable monthly in cash and in arrears on the last business day of each calendar month.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Mandatory prepayments were required to be made upon the occurrence of certain events. Voluntary prepayments were permitted in whole or in part at any time. All prepayments were subject to a specified premium that applies for the first 24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Financing Agreement contained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initial debt issuance costs, including the insurance premium paid, estimated second premium and final premium, exit fee and discount created by allocating proceeds to the fair value of the Series J Warrants issued in connection with the issuance of the Term Loans (refer to </w:t>
      </w:r>
      <w:r>
        <w:rPr>
          <w:rFonts w:ascii="Times New Roman" w:hAnsi="Times New Roman"/>
          <w:b/>
          <w:color w:val="000000"/>
          <w:sz w:val="20"/>
        </w:rPr>
        <w:t xml:space="preserve">Note 9. Fair Value Measurement </w:t>
      </w:r>
      <w:r>
        <w:rPr>
          <w:rFonts w:ascii="Times New Roman" w:hAnsi="Times New Roman"/>
          <w:color w:val="000000"/>
          <w:sz w:val="20"/>
        </w:rPr>
        <w:t xml:space="preserve">for further detail), were deferred and amortized to interest expense over the contractual term of the Term Loans using the effective interest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subsequent amendments of the Financing Agreement following the initial closing date did not result in a troubled debt restructuring and were all accounted for as debt modifications. As a result, the third-party costs incurred were expensed and newly incurred lender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fees, along with the previously deferred and unamortized issuance costs of the Term Loans prior to the amendments, were deferred and amortized over the remaining contractual term of the Term Loans.</w:t>
      </w:r>
    </w:p>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Term Loans Extinguishment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On August 8, 2025, the Company completed its IPO and used a portion of the net proceeds to fully repay the outstanding Term Loans under the Financing Agreement. The repayment included the principal amounts of the outstanding Term Loans, accrued interest, and applicable prepayment premiums.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recognized a loss on extinguishment of debt of $30.4 million, which includes the write-off of unamortized debt issuance costs, specified premium, and the exit fee associated with the Term A Loans and Term B Loans. The specified premium applicable to the prepayment was calculated in accordance with the terms of the Financing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the repayment, all obligations under the Financing Agreement, including guarantees and collateral arrangements, were terminated. The interest reserve accounts and insurance premium reserve account were released, and the related restricted cash balances were reclassified to unrestricted cash.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recognized related to the Term Loans was as follows: </w:t>
      </w:r>
    </w:p>
    <w:tbl>
      <w:tblPr>
        <w:tblW w:w="10205" w:type="dxa"/>
        <w:jc w:val="left"/>
        <w:tblInd w:w="0" w:type="dxa"/>
        <w:tblLayout w:type="fixed"/>
        <w:tblCellMar>
          <w:top w:w="28" w:type="dxa"/>
          <w:left w:w="28" w:type="dxa"/>
          <w:bottom w:w="28" w:type="dxa"/>
          <w:right w:w="28" w:type="dxa"/>
        </w:tblCellMar>
      </w:tblPr>
      <w:tblGrid>
        <w:gridCol w:w="2869"/>
        <w:gridCol w:w="146"/>
        <w:gridCol w:w="953"/>
        <w:gridCol w:w="2579"/>
        <w:gridCol w:w="146"/>
        <w:gridCol w:w="789"/>
        <w:gridCol w:w="2529"/>
        <w:gridCol w:w="194"/>
      </w:tblGrid>
      <w:tr>
        <w:trPr/>
        <w:tc>
          <w:tcPr>
            <w:tcW w:w="2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Revolving Line of Credit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August 8, 2025, following the completion of the IPO, the Company entered into a new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November 7, 2025, the Company amended the credit agreement to, among other things, increase the then-existing commitments under the Revolving Credit Facility by $135.0 million for an aggregate principal amount of $260.0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On April 3, 2026, the Company amended the credit agreement to, among other things, further increase the existing commitments under the Revolving Credit Facility by $45.0 million, for an aggregate principal amount of $305.0 million.</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Revolving Credit Facility matures on August 8, 2028. </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Prior to April 3, 2026, the loans under the Revolving Credit Facility bore interest at a variable rate per annum equal to, at the Company’s option, either (a) term SOFR plus a 3.00% spread or (b) an alternative base rate (as set forth in the credit agreement) plus a 2.00% spread. After giving effect to the April 3, 2026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commitment fee of 0.375% per annum is applied on the unused commitments under the Revolving Credit Facility.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Capitalized debt issuance costs are amortized into interest expense over the term of the Revolving Credit Facility on a straight-line basis. The remaining unamortized debt issuance costs for the Revolving Facility totaled $3.6 million as of June 30, 2026. Interest expense recognized during the three months ended June 30, 2026 related to the Revolving Facility was $0.7 million, including $0.3 million of contractual interest expense and $0.4 million of amortization of debt issuance costs. Interest expense recognized during the six months ended June 30, 2026 related to the Revolving Facility was $3.5 million, including $2.7 million of contractual interest expense and $0.8 million of amortization of debt issuance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18, 2026, the Company repaid the $260.0 million in then-outstanding aggregate principal. At June 30, 2026, the Revolving Credit Facility remained undrawn.</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presents the Company’s outstanding debt:</w:t>
      </w:r>
    </w:p>
    <w:tbl>
      <w:tblPr>
        <w:tblW w:w="7302" w:type="dxa"/>
        <w:jc w:val="left"/>
        <w:tblInd w:w="0" w:type="dxa"/>
        <w:tblLayout w:type="fixed"/>
        <w:tblCellMar>
          <w:top w:w="28" w:type="dxa"/>
          <w:left w:w="28" w:type="dxa"/>
          <w:bottom w:w="28" w:type="dxa"/>
          <w:right w:w="28" w:type="dxa"/>
        </w:tblCellMar>
      </w:tblPr>
      <w:tblGrid>
        <w:gridCol w:w="4486"/>
        <w:gridCol w:w="146"/>
        <w:gridCol w:w="211"/>
        <w:gridCol w:w="676"/>
        <w:gridCol w:w="166"/>
        <w:gridCol w:w="146"/>
        <w:gridCol w:w="268"/>
        <w:gridCol w:w="992"/>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7.71% due 2029</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8.31% due 2031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7.8% due 2031</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The unamortized issuance costs do not include the $3.6 million of debt issuance costs related to the Revolving Credit Facility included in other current assets and other assets, less current portion.</w:t>
      </w:r>
    </w:p>
    <w:p>
      <w:pPr>
        <w:pStyle w:val="TextBody"/>
        <w:bidi w:val="0"/>
        <w:spacing w:before="0" w:after="200"/>
        <w:jc w:val="both"/>
        <w:rPr>
          <w:rFonts w:ascii="Times New Roman" w:hAnsi="Times New Roman"/>
          <w:sz w:val="20"/>
        </w:rPr>
      </w:pPr>
      <w:r>
        <w:rPr>
          <w:rFonts w:ascii="Times New Roman" w:hAnsi="Times New Roman"/>
          <w:color w:val="000000"/>
          <w:sz w:val="16"/>
        </w:rPr>
        <w:t xml:space="preserve">(2) Includes obligations related to various equipment recorded as failed sale leaseback transactions. Refer to </w:t>
      </w:r>
      <w:r>
        <w:rPr>
          <w:rFonts w:ascii="Times New Roman" w:hAnsi="Times New Roman"/>
          <w:b/>
          <w:color w:val="000000"/>
          <w:sz w:val="16"/>
        </w:rPr>
        <w:t xml:space="preserve">Note 10. Leases </w:t>
      </w:r>
      <w:r>
        <w:rPr>
          <w:rFonts w:ascii="Times New Roman" w:hAnsi="Times New Roman"/>
          <w:color w:val="000000"/>
          <w:sz w:val="16"/>
        </w:rPr>
        <w:t>for further detail.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future principal payments on notes payable in each of the next five years and thereafter:</w:t>
      </w:r>
    </w:p>
    <w:tbl>
      <w:tblPr>
        <w:tblW w:w="4330" w:type="dxa"/>
        <w:jc w:val="left"/>
        <w:tblInd w:w="0" w:type="dxa"/>
        <w:tblLayout w:type="fixed"/>
        <w:tblCellMar>
          <w:top w:w="28" w:type="dxa"/>
          <w:left w:w="28" w:type="dxa"/>
          <w:bottom w:w="28" w:type="dxa"/>
          <w:right w:w="28" w:type="dxa"/>
        </w:tblCellMar>
      </w:tblPr>
      <w:tblGrid>
        <w:gridCol w:w="2986"/>
        <w:gridCol w:w="146"/>
        <w:gridCol w:w="211"/>
        <w:gridCol w:w="676"/>
        <w:gridCol w:w="3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The unamortized issuance costs do not include the $3.6 million of debt issuance costs related to the Revolving Credit Facility included in other current assets and other assets, less current portion.</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 and Claims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is involved in various pending and threatened litigation matters in the ordinary course of business. In the future, it may be subject to additional legal proceedings, the scope and severity of which is unknown and could adversely affect its business. In addition, from time to time, the Company may receive letters or other forms of communication asserting claims against it.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November 11, 2025, one of Firefly’s purported stockholders filed a putative class action complaint in the United States District Court for the Western District of Texas in an action originally captioned Diamond v. Firefly Aerospace Inc., et al., Case No. 1:25-cv-01812 (W.D. Tex.) (the “Securities Action”). The original complaint named Firefly and certain of Firefly’s current and former directors and officers as defendants, and asserted claims for alleged violations of Sections 10(b) and 20(a) of the Securities Exchange Act of 1934, as amended (the “Exchange Act”), and Rule 10b-5 promulgated thereunder and Sections 11 and 15 of the Securities Act of 1933, as amended (the “Securities Act”), arising from allegedly false or misleading statements or omissions of purportedly material fact concerning the demand and growth prospects of Firefly’s Spacecraft Solutions offerings and the operational readiness and commercial viability of the Alpha rocket. On March 26, 2026, the Court appointed co-lead plaintiffs, pursuant to the Private Securities Litigation Reform Act of 1995 and recaptioned the case as In re Firefly Aerospace Securities Litigation. The co-lead plaintiffs filed an amended complaint on May 29, 2026, asserting the same causes of action but naming additional defendants, including certain of Firefly’s investors and their affiliates and the underwriters from Firefly’s IPO and, among other changes, removing claims of allegedly false or misleading statements or omissions relating to Firefly’s Spacecraft Solutions offerings. On July 30, 2026, Firefly and the other defendants moved to dismiss the amended complaint in full, which motion remains pending. Firefly intends to defend itself vigorously against these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allegations and claims, but is currently unable to predict the outcome of this lawsuit and therefore cannot determine the likelihood of loss nor estimate a range of possible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23, 2025, one of Firefly’s purported stockholders filed a complaint in the United States District Court for the Western District of Texas in an action captioned Shadowbolt v. Kim, et al., Case No. 1:25-cv-02126 (W.D. Tex.) (the “Derivative Action”). The plaintiff seeks to pursue claims, purportedly on Firefly’s behalf, against certain of Firefly’s current and former directors and officers for alleged breaches of fiduciary duty and contribution under Section 21D of the Exchange Act and Section 11(f) of the Securities Act, among other common law causes of action, arising from substantially the same allegations at issue in the Securities Action. The Derivative Action is stayed in its entirety pending entry of final judgment, including after any appeals have been pursued or exhausted, in the Securities Action. Firefly is currently unable to predict the outcome of this lawsuit and therefore cannot determine the likelihood of loss nor estimate a range of possible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above, in the ordinary course of business, Firefly is involved in a variety pending and threatened litigation matters, and in the future, Firefly may be subject to additional legal proceedings, the scope of which is unknown and could adversely affect our business. In addition, from time to time, we may receive letters or other forms of communication asserting claims against us. Regardless of the outcome, these proceedings could adversely impact our business because of defense costs, diversion of management resources, and other factors. Although the results of legal proceedings and claims are inherently unpredictable and uncertain, Firefly currently does not believe that these matters, individually or in the aggregate, will materially affect Firefly’s business, financial position, results of operations or cash flows.</w:t>
      </w:r>
    </w:p>
    <w:p>
      <w:pPr>
        <w:pStyle w:val="TextBody"/>
        <w:bidi w:val="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a liability has been incurred and the amount can be reasonably estimated. When only a range of a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believe that any such matters, individually or in the aggregate, will materially affect the Company’s consolidated financial condition, results of operations, or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recognize any contingent liabilities as of June 30, 2026. As of December 31, 2025, $2.3 million of contingent liabilities related to Spaceflight, Inc were recognized in other non-current liabilities. Due to the resolution of certain underlying matters, the balance decreased by $1.5 million and $2.3 million during the three and six months ended June 30, 2026, respectively, and resulted in net gains recognized in the condensed consolidated statements of net loss and comprehensive loss during both the three and six months ended June 30, 2026 and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also currently has directors’ and officers’ insurance.</w:t>
      </w:r>
    </w:p>
    <w:p>
      <w:pPr>
        <w:pStyle w:val="TextBody"/>
        <w:bidi w:val="0"/>
        <w:jc w:val="both"/>
        <w:rPr>
          <w:rFonts w:ascii="Times New Roman" w:hAnsi="Times New Roman"/>
          <w:sz w:val="20"/>
        </w:rPr>
      </w:pPr>
      <w:r>
        <w:rPr>
          <w:rFonts w:ascii="Times New Roman" w:hAnsi="Times New Roman"/>
          <w:b/>
          <w:color w:val="000000"/>
          <w:sz w:val="20"/>
        </w:rPr>
        <w:t>13. Stockholders’ Equity and Redeemable Convertible Preferred Stock</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August 8, 2025, the Company completed an IPO of an aggregate of 22.2 million shares of its common stock, par value $0.0001 (which included the exercise in full by the underwriters of their option to purchase an additional 2.9 million shares of common stock) at a public offering price of $45.00 per share, for an aggregate offering price of $998.6 million. The Company received aggregate proceeds of $932.3 million, net of $57.4 million of underwriting discounts and commissions and $11.4 million of offering costs.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connection with the closing of the IPO, all of the then-outstanding shares of the Company’s redeemable convertible preferred stock (collectively, the “Preferred Stock”) were converted into 105.8 million shares of common stock. All outstanding warrants issued to purchase common stock (the “Common Warrants”) were automatically exercised into 1.0 million shares of common stock, and 0.6 million shares of common stock are reserved for issuance upon exercise of the Series J Warrants (as defined in </w:t>
      </w:r>
      <w:r>
        <w:rPr>
          <w:rFonts w:ascii="Times New Roman" w:hAnsi="Times New Roman"/>
          <w:b/>
          <w:color w:val="000000"/>
          <w:sz w:val="20"/>
        </w:rPr>
        <w:t>Note 9. Fair Value Measurement</w:t>
      </w:r>
      <w:r>
        <w:rPr>
          <w:rFonts w:ascii="Times New Roman" w:hAnsi="Times New Roman"/>
          <w:color w:val="000000"/>
          <w:sz w:val="20"/>
        </w:rPr>
        <w:t xml:space="preserve">). </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On August 8, 2025, the Company used a portion of the net proceeds from the IPO to repay the Term Loans under the Financing Agreement (each as defined in </w:t>
      </w:r>
      <w:r>
        <w:rPr>
          <w:rFonts w:ascii="Times New Roman" w:hAnsi="Times New Roman"/>
          <w:b/>
          <w:color w:val="000000"/>
          <w:sz w:val="20"/>
        </w:rPr>
        <w:t>Note 11. Notes Payable</w:t>
      </w:r>
      <w:r>
        <w:rPr>
          <w:rFonts w:ascii="Times New Roman" w:hAnsi="Times New Roman"/>
          <w:color w:val="000000"/>
          <w:sz w:val="20"/>
        </w:rPr>
        <w:t xml:space="preserve">), together with the specified prepayment premium of $11.4 million, and accrued interest.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 xml:space="preserve">In connection with the IPO, the Company effected a 1-for-3.2544 reverse stock split of its common stock and a proportionate decrease in the number of its authorized shares. All share and per share information, including share-based compensation, throughout the accompanying unaudited condensed consolidated financial statements has been retroactively adjusted to reflect the reverse stock split. </w:t>
      </w:r>
    </w:p>
    <w:p>
      <w:pPr>
        <w:pStyle w:val="TextBody"/>
        <w:bidi w:val="0"/>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June 1, 2026, the Company completed an underwritten public offering of 12.0 million shares of common stock at a public offering price of $48.00 per share (the “Registered Equity Offering”), consisting of 4.0 million shares offered by the Company and 8.0 million shares offered by certain entities affiliated with AE Industrial Partners (collectively, “AE Industrial”). The Company received net proceeds of $181.6 million, after deducting underwriting discounts and commissions of $7.9 million and offering expenses of $2.6 million. The Company did not receive any proceeds from the sale of shares by AE Industrial.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Of the offering expenses, $2.5 million was directly attributable to the offering and offset against additional paid-in capital. The remaining $0.1 million was expensed during the three months ended June 30, 2026. See </w:t>
      </w:r>
      <w:r>
        <w:rPr>
          <w:rFonts w:ascii="Times New Roman" w:hAnsi="Times New Roman"/>
          <w:b/>
          <w:color w:val="000000"/>
          <w:sz w:val="20"/>
        </w:rPr>
        <w:t>Note 16. Related Party Transactions</w:t>
      </w:r>
      <w:r>
        <w:rPr>
          <w:rFonts w:ascii="Times New Roman" w:hAnsi="Times New Roman"/>
          <w:color w:val="000000"/>
          <w:sz w:val="20"/>
        </w:rPr>
        <w:t>.</w:t>
      </w:r>
    </w:p>
    <w:p>
      <w:pPr>
        <w:pStyle w:val="TextBody"/>
        <w:bidi w:val="0"/>
        <w:jc w:val="both"/>
        <w:rPr>
          <w:rFonts w:ascii="Times New Roman" w:hAnsi="Times New Roman"/>
          <w:b/>
          <w:color w:val="000000"/>
          <w:sz w:val="20"/>
        </w:rPr>
      </w:pPr>
      <w:r>
        <w:rPr>
          <w:rFonts w:ascii="Times New Roman" w:hAnsi="Times New Roman"/>
          <w:b/>
          <w:color w:val="000000"/>
          <w:sz w:val="20"/>
        </w:rPr>
        <w:t>14. Stock-Based Compensation</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2017 Equity Incentive Plans</w:t>
      </w:r>
    </w:p>
    <w:p>
      <w:pPr>
        <w:pStyle w:val="TextBody"/>
        <w:bidi w:val="0"/>
        <w:jc w:val="both"/>
        <w:rPr>
          <w:rFonts w:ascii="Times New Roman" w:hAnsi="Times New Roman"/>
          <w:color w:val="000000"/>
          <w:sz w:val="20"/>
        </w:rPr>
      </w:pPr>
      <w:r>
        <w:rPr>
          <w:rFonts w:ascii="Times New Roman" w:hAnsi="Times New Roman"/>
          <w:color w:val="000000"/>
          <w:sz w:val="20"/>
        </w:rPr>
        <w:t>In October 2017, the Company adopted and approved the 2017 Stock Plan (the “2017 Plan”) under which 3.1 million shares of the Company’s common stock were originally reserved for issuance to employees, directors, and consultants. In 2023, the Company twice amended the 2017 Plan to increase the number of reserved shares to a total of approximately 26.7 million. In 2024, the Company twice amended the 2017 Plan to increase the number of reserved shares by an additional total 11.3 million shares for a total of approximately 38.1 million. Under the 2017 Plan, the Company may grant stock options, restricted stock awards (“RSAs”), and RSUs. Options granted under the Plan may be either incentive stock options (“ISOs”) or stock options (“NSOs”). ISOs may be granted only to Company employees (including officers and directors). Awards granted under the 2017 Plan generally vest based on service over various periods ranging from immediately to five years. Certain performance-based awards vest upon the occurrence of a qualified liquidity event (including a change in control or IPO), while some awards may accelerate vesting upon such an event. Options expire as determined by the Board of Directors but not more than ten years after the date of grant, unless the holder of an ISO owns more than 10% of the voting power in the Company, in which case the term cannot exceed five years. The Company had no shares of common stock available for future issuance under the 2017 Plan as of June 30, 2026.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2024, the Company established a Performance-Based Incentive Compensation Plan (the “2024 Plan”) that allows for the issuance of stock options, RSAs, RSUs, and cash incentives to employees, directors, and consultants. The stock-based awards granted under the 2024 Plan are governed in accordance with the terms and conditions of the 2017 Plan. The 2024 Plan also included cash incentive opportunities tied to the achievement of specific performance goals. Subsequent to the adoption of the 2025 Plan (as defined below), no further awards were granted under the 2017 Plan.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Omnibus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Board of Directors adopted, and the Company’s stockholders approved, the Firefly Aerospace Inc. 2025 Omnibus Incentive Plan (the “2025 Plan”). The 2025 Plan authorizes grants of stock options, stock appreciation rights, RSAs, RSUs, performance awards, other stock</w:t>
        <w:noBreakHyphen/>
        <w:t xml:space="preserve">based awards, cash awards, and substitute awards. The 2025 Plan reserves 24.1 million shares of common stock, subject to annual increases beginning January 1, 2026 equal to the lesser of (i) 3% of shares outstanding or (ii) a smaller amount determined by the Board of Directors. RSUs and restricted stock granted under the 2025 Plan vest based on service, performance conditions, or both, and unvested units are typically forfeited upon termination.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Compensation cost for employee stock-based awards is based on the estimated grant date fair value and is recognized over the vesting period of the applicable award on a straight-line basis for service-based awards with graded vesting.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2025, the Board of Directors adopted, and the Company’s shareholders approved, the 2025 Employee Stock Purchase Plan (the “ESPP”). The ESPP authorizes the issuance of shares of common stock pursuant to purchase rights granted to the Company’s employees. The option purchase price will be designated by the ESPP administrator but will not be less than 85% of the fair market value of a share of the Company’s common stock on the applicable enrollment date or the applicable exercise date, whichever is lower. A total of 3.2 million shares of the Company’s common stock was initially reserved for issuance under the ESPP. In addition, the number of shares available for issuance under the ESPP will be increased annually on January 1 of each fiscal year beginning in 2026 by an amount equal to the lesser of (i) 1.0% of the shares outstanding on the last day of the immediately preceding fiscal year or (ii) a lesser amount determined by the Company’s Board of Directors; provided, however, that no more than 3.2 million shares may be issued per year in total under the ESPP.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Subsequent to the IPO, the Company grants service-based RSUs to employees, all of which relate to the Company’s common stock, under the 2025 Plan. RSUs generally expire within four years from grant date. The service-based vesting condition for these awards is generally satisfied by rendering continuous service, generally for one to four years, during which time the grants will vest either with a cliff vesting period of one year and continued vesting quarterly thereafter or quarterly from the vesting commencement date. The fair value of RSUs is based on the closing market price of the Company’s common stock on the grant date. The Company records stock-based compensation expense related to RSUs on a straight-line basis over the requisite service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and six months ended June 30, 2026, the Company granted RSUs to certain employees under the 2025 Plan. Each RSU represents the right to receive one share of the Company’s common stock upon vesting. The RSUs granted generally vest over the requisite service period specified in each award agreement. Unvested RSUs are forfeited upon termination of employment, unless otherwise provided under the award terms.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summary of the Company’s RSU activity for the three and six months ended June 30, 2026 is presented below:</w:t>
      </w:r>
    </w:p>
    <w:tbl>
      <w:tblPr>
        <w:tblW w:w="7997" w:type="dxa"/>
        <w:jc w:val="left"/>
        <w:tblInd w:w="0" w:type="dxa"/>
        <w:tblLayout w:type="fixed"/>
        <w:tblCellMar>
          <w:top w:w="28" w:type="dxa"/>
          <w:left w:w="28" w:type="dxa"/>
          <w:bottom w:w="28" w:type="dxa"/>
          <w:right w:w="28" w:type="dxa"/>
        </w:tblCellMar>
      </w:tblPr>
      <w:tblGrid>
        <w:gridCol w:w="2986"/>
        <w:gridCol w:w="146"/>
        <w:gridCol w:w="146"/>
        <w:gridCol w:w="571"/>
        <w:gridCol w:w="166"/>
        <w:gridCol w:w="146"/>
        <w:gridCol w:w="982"/>
        <w:gridCol w:w="2663"/>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total fair value of RSUs vested during the three and six months ended June 30, 2026 was $1.1 million and $1.4 million, respectively. Total unrecognized compensation cost related to unvested RSUs was $156.5 million, which is expected to be recognized over a weighted</w:t>
        <w:noBreakHyphen/>
        <w:t>average period of 3.0 years.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stock option activity during the three and six months ended June 30, 2026:</w:t>
      </w:r>
    </w:p>
    <w:tbl>
      <w:tblPr>
        <w:tblW w:w="10205" w:type="dxa"/>
        <w:jc w:val="left"/>
        <w:tblInd w:w="0" w:type="dxa"/>
        <w:tblLayout w:type="fixed"/>
        <w:tblCellMar>
          <w:top w:w="28" w:type="dxa"/>
          <w:left w:w="28" w:type="dxa"/>
          <w:bottom w:w="28" w:type="dxa"/>
          <w:right w:w="28" w:type="dxa"/>
        </w:tblCellMar>
      </w:tblPr>
      <w:tblGrid>
        <w:gridCol w:w="1823"/>
        <w:gridCol w:w="146"/>
        <w:gridCol w:w="356"/>
        <w:gridCol w:w="1658"/>
        <w:gridCol w:w="166"/>
        <w:gridCol w:w="146"/>
        <w:gridCol w:w="737"/>
        <w:gridCol w:w="1633"/>
        <w:gridCol w:w="146"/>
        <w:gridCol w:w="146"/>
        <w:gridCol w:w="727"/>
        <w:gridCol w:w="2327"/>
        <w:gridCol w:w="194"/>
      </w:tblGrid>
      <w:tr>
        <w:trPr/>
        <w:tc>
          <w:tcPr>
            <w:tcW w:w="1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 Term</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12,569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did not grant any employee stock options for the six months ended June 30, 2026. Unrecognized compensation expense related to stock options, which are expected to be recognized over a weighted-average period of 1.7 years and 3.1 years, was $1.4 million and $8.6 million for the six months ended June 30, 2026 and 2025 respectively. The aggregate intrinsic value of the options outstanding was $352.7 million and $20.9 million for the six months ended June 30, 2026 and 2025, respectively. The aggregate intrinsic value of the options exercisable was $313.8 million and $11.3 million for the six months ended June 30, 2026 and 2025, respectively. The Company received cash proceeds of $1.6 million and $0.6 million from the exercise of stock options during the six months ended June 30, 2026 and 2025, respectively.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uses the Black-Scholes option pricing model to determine the fair value of stock options. The determination of the fair value of stock options on the date of grant is affected by the stock price as well as assumptions regarding several complex and subjective variables. These variables include expected stock price volatility over the term of the awards, actual and projected employee stock option exercise behaviors, risk-free interest rates, and expected dividends.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Expected Term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expected term represents the period that the stock-based awards are expected to be outstanding. The option grants qualify to be “plain vanilla”, and the Company used the simplified method to determine the expected term. The simplified method calculates the expected term as the average of the time-to-vesting and contractual life of the option.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Volatility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the Company has limited historical data regarding the volatility of its common stock, the expected volatility used is based on volatility of similar entities, referred to as “guideline” companies. In evaluating similarity, the Company considered factors such as industry, stage of life cycle and size.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Risk-Free Interest 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risk-free rate is based on U.S. Treasury issues with remaining terms similar to the expected term on the options.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 Yield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never declared or paid any cash dividends and does not plan to pay cash dividends in the foreseeable future, and, therefore, used an expected dividend yield of zero in the valuation model.</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stock-based compensation expense related to options and RSUs was allocated to research and development and general and administrative expense as follows:</w:t>
      </w:r>
    </w:p>
    <w:tbl>
      <w:tblPr>
        <w:tblW w:w="9908" w:type="dxa"/>
        <w:jc w:val="left"/>
        <w:tblInd w:w="0" w:type="dxa"/>
        <w:tblLayout w:type="fixed"/>
        <w:tblCellMar>
          <w:top w:w="28" w:type="dxa"/>
          <w:left w:w="28" w:type="dxa"/>
          <w:bottom w:w="28" w:type="dxa"/>
          <w:right w:w="28" w:type="dxa"/>
        </w:tblCellMar>
      </w:tblPr>
      <w:tblGrid>
        <w:gridCol w:w="2956"/>
        <w:gridCol w:w="146"/>
        <w:gridCol w:w="382"/>
        <w:gridCol w:w="1226"/>
        <w:gridCol w:w="264"/>
        <w:gridCol w:w="264"/>
        <w:gridCol w:w="382"/>
        <w:gridCol w:w="763"/>
        <w:gridCol w:w="146"/>
        <w:gridCol w:w="146"/>
        <w:gridCol w:w="327"/>
        <w:gridCol w:w="1050"/>
        <w:gridCol w:w="226"/>
        <w:gridCol w:w="226"/>
        <w:gridCol w:w="327"/>
        <w:gridCol w:w="88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17,027</w:t>
            </w:r>
          </w:p>
        </w:tc>
        <w:tc>
          <w:tcPr>
            <w:tcW w:w="2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29,539</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computes its provision for income taxes by applying the estimated annual effective tax rate to year-to-date income from recurring operations and adjusts the provision for discrete tax items recorded in the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an immaterial tax benefit for the three months ended June 30, 2026 and recognized an immaterial tax provision for the six months ended June 30, 2026. The Company had no income tax provision for either the three or six months ended June 30, 2025.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connection with the Registered Equity Offering, the Company paid offering costs of $2.5 million. The Company determined that $1.7 million of these costs were attributable to AE Industrial’s secondary offering. AE Industrial paid all underwriting fees incurred in connection with the secondary component of the offering.</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During the six months ended June 30, 2025, AE Industrial purchased 0.3 million shares of Series D-1 Preferred Stock for an aggregate purchase price of $5.0 million. During the six months ended June 30, 2026 there were no such purchases by AE Industrial.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Payable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transactions occurred between the Company and AE Industrial, which beneficially owned 30.51% of the Company’s common stock outstanding as of June 30, 2026. Even though the Company is part of AE Industrial’s portfolio of companies, it is not a part of AE Industrial’s consolidated tax return and files its tax returns independently.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entered into an Amended and Restated Consulting Agreement (the “Consulting Agreement”) with AE Industrial Operating Partners, LLC (“AE Operating”), an affiliate of AE Industrial. Under the Consulting Agreement, the Company will pay AE Operating an annual fee of approximately $2.4 million for consulting and advisory services until the earlier of August 8, 2027, or the time AE Industrial beneficially owns less than 10% of the Company’s outstanding common stock. Expenses recorded under this agreement for the three and six months ended June 30, 2026 were $0.8 million, and $1.7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AE Operating, G.S. Precision, Deep Space Systems, and Redwire Corporation are also related parties of the Company, as these entities are part of AE Industrial’s investment portfolio or share a common board of directors with the Company.</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is a summary of the Company’s related party accounts payable and accrued expenses as of June 30, 2026 and December 31, 2025, and related party research and development and selling, general, and administrative expenses:</w:t>
      </w:r>
    </w:p>
    <w:tbl>
      <w:tblPr>
        <w:tblW w:w="6435" w:type="dxa"/>
        <w:jc w:val="left"/>
        <w:tblInd w:w="0" w:type="dxa"/>
        <w:tblLayout w:type="fixed"/>
        <w:tblCellMar>
          <w:top w:w="28" w:type="dxa"/>
          <w:left w:w="28" w:type="dxa"/>
          <w:bottom w:w="28" w:type="dxa"/>
          <w:right w:w="28" w:type="dxa"/>
        </w:tblCellMar>
      </w:tblPr>
      <w:tblGrid>
        <w:gridCol w:w="3436"/>
        <w:gridCol w:w="346"/>
        <w:gridCol w:w="218"/>
        <w:gridCol w:w="592"/>
        <w:gridCol w:w="146"/>
        <w:gridCol w:w="146"/>
        <w:gridCol w:w="419"/>
        <w:gridCol w:w="841"/>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Deep Space Systems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5" w:type="dxa"/>
        <w:jc w:val="left"/>
        <w:tblInd w:w="0" w:type="dxa"/>
        <w:tblLayout w:type="fixed"/>
        <w:tblCellMar>
          <w:top w:w="28" w:type="dxa"/>
          <w:left w:w="28" w:type="dxa"/>
          <w:bottom w:w="28" w:type="dxa"/>
          <w:right w:w="28" w:type="dxa"/>
        </w:tblCellMar>
      </w:tblPr>
      <w:tblGrid>
        <w:gridCol w:w="2031"/>
        <w:gridCol w:w="346"/>
        <w:gridCol w:w="406"/>
        <w:gridCol w:w="1099"/>
        <w:gridCol w:w="281"/>
        <w:gridCol w:w="281"/>
        <w:gridCol w:w="406"/>
        <w:gridCol w:w="810"/>
        <w:gridCol w:w="146"/>
        <w:gridCol w:w="146"/>
        <w:gridCol w:w="376"/>
        <w:gridCol w:w="1019"/>
        <w:gridCol w:w="260"/>
        <w:gridCol w:w="260"/>
        <w:gridCol w:w="376"/>
        <w:gridCol w:w="751"/>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G.S Precision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Deep Space Systems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1,289</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2,669</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normal course of business, the Company engages in transactions with certain vendors and customers where AE Industrial maintains a significant ownership interest and/or can exhibit significant influence on the operations of such parties. For both the three and six months ended June 30, 2026 and 2025, transactions with other companies in AE Industrial’s investment portfolio were not material to the Company’s unaudited condensed consolidated financial statements.</w:t>
      </w:r>
    </w:p>
    <w:p>
      <w:pPr>
        <w:pStyle w:val="TextBody"/>
        <w:bidi w:val="0"/>
        <w:jc w:val="both"/>
        <w:rPr>
          <w:rFonts w:ascii="Times New Roman" w:hAnsi="Times New Roman"/>
          <w:sz w:val="20"/>
        </w:rPr>
      </w:pPr>
      <w:r>
        <w:rPr>
          <w:rFonts w:ascii="Times New Roman" w:hAnsi="Times New Roman"/>
          <w:b/>
          <w:color w:val="000000"/>
          <w:sz w:val="20"/>
        </w:rPr>
        <w:t>17. Net Loss Per Share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weighted-average number of common shares outstanding during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Diluted net loss per share is computed by dividing net loss attributable to common stockholders by the weighted-average number of fully dilutive common shares outstanding for the period using the treasury-stock method, the if-converted method, or two-class method for participating securities, whichever is more dilutive. Potentially dilutive shares are comprised of common stock warrants, RSUs, convertible notes and stock options. For the six months ended June 30, 2026 and 2025, there was no difference in the number of shares used to calculate basic and diluted shares outstanding due to the Company’s net loss and potentially dilutive shares being anti-dilutive. The Company has determined that all series of Preferred Stock were participating securities under the two-class method, however, holders of the Preferred Stock were not required to fund losses. Dividends were accreted for the Company’s outstanding shares of Series C, Series D-1 and Series D-3 Preferred Stock.</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4869"/>
        <w:gridCol w:w="146"/>
        <w:gridCol w:w="211"/>
        <w:gridCol w:w="781"/>
        <w:gridCol w:w="166"/>
        <w:gridCol w:w="146"/>
        <w:gridCol w:w="211"/>
        <w:gridCol w:w="736"/>
        <w:gridCol w:w="166"/>
        <w:gridCol w:w="146"/>
        <w:gridCol w:w="211"/>
        <w:gridCol w:w="841"/>
        <w:gridCol w:w="166"/>
        <w:gridCol w:w="146"/>
        <w:gridCol w:w="211"/>
        <w:gridCol w:w="841"/>
        <w:gridCol w:w="211"/>
      </w:tblGrid>
      <w:tr>
        <w:trPr/>
        <w:tc>
          <w:tcPr>
            <w:tcW w:w="4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summary of the total number of securities excluded from diluted net loss per share that could be potentially dilutive in the future is as follows:</w:t>
      </w:r>
    </w:p>
    <w:tbl>
      <w:tblPr>
        <w:tblW w:w="5769" w:type="dxa"/>
        <w:jc w:val="left"/>
        <w:tblInd w:w="0" w:type="dxa"/>
        <w:tblLayout w:type="fixed"/>
        <w:tblCellMar>
          <w:top w:w="28" w:type="dxa"/>
          <w:left w:w="28" w:type="dxa"/>
          <w:bottom w:w="28" w:type="dxa"/>
          <w:right w:w="28" w:type="dxa"/>
        </w:tblCellMar>
      </w:tblPr>
      <w:tblGrid>
        <w:gridCol w:w="3496"/>
        <w:gridCol w:w="146"/>
        <w:gridCol w:w="146"/>
        <w:gridCol w:w="676"/>
        <w:gridCol w:w="146"/>
        <w:gridCol w:w="146"/>
        <w:gridCol w:w="146"/>
        <w:gridCol w:w="67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18. Segment and Geographical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In the first quarter of fiscal 2026, the Company refined its segment reporting to better reflect how the CODM evaluates segment performance. Prior period segment results have been recast to conform to the current period presentation.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includes the significant expense categories and amounts that are regularly provided to the CODM:</w:t>
      </w:r>
    </w:p>
    <w:tbl>
      <w:tblPr>
        <w:tblW w:w="10205" w:type="dxa"/>
        <w:jc w:val="left"/>
        <w:tblInd w:w="0" w:type="dxa"/>
        <w:tblLayout w:type="fixed"/>
        <w:tblCellMar>
          <w:top w:w="28" w:type="dxa"/>
          <w:left w:w="28" w:type="dxa"/>
          <w:bottom w:w="28" w:type="dxa"/>
          <w:right w:w="28" w:type="dxa"/>
        </w:tblCellMar>
      </w:tblPr>
      <w:tblGrid>
        <w:gridCol w:w="2913"/>
        <w:gridCol w:w="346"/>
        <w:gridCol w:w="237"/>
        <w:gridCol w:w="880"/>
        <w:gridCol w:w="412"/>
        <w:gridCol w:w="389"/>
        <w:gridCol w:w="237"/>
        <w:gridCol w:w="829"/>
        <w:gridCol w:w="366"/>
        <w:gridCol w:w="346"/>
        <w:gridCol w:w="220"/>
        <w:gridCol w:w="877"/>
        <w:gridCol w:w="381"/>
        <w:gridCol w:w="360"/>
        <w:gridCol w:w="220"/>
        <w:gridCol w:w="877"/>
        <w:gridCol w:w="315"/>
      </w:tblGrid>
      <w:tr>
        <w:trPr/>
        <w:tc>
          <w:tcPr>
            <w:tcW w:w="29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(Recast)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(Recast)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(20,762</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(154,132</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(63,272</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(113,538</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Selling, general, and administrative</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 income, net</w:t>
            </w:r>
            <w:r>
              <w:rPr>
                <w:rFonts w:ascii="Times New Roman" w:hAnsi="Times New Roman"/>
                <w:color w:val="000000"/>
                <w:sz w:val="13"/>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net loss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412"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89"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381"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60"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3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Depreciation and amortization excludes the amortization of acquired intangibles, which is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 Cost of sales excludes depreciation and amortization, and interest expense,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 Research and development excludes depreciation and amortization, and stock-based compensation expense,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 Selling, general, and administrative excludes depreciation and amortization, amortization of acquired intangibles, stock-based compensation expense, one-time costs related to the IPO, and transaction-related expenses, which are presented separately.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(5)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jc w:val="both"/>
        <w:rPr>
          <w:rFonts w:ascii="Times New Roman" w:hAnsi="Times New Roman"/>
          <w:color w:val="000000"/>
          <w:sz w:val="16"/>
        </w:rPr>
      </w:pPr>
      <w:r>
        <w:rPr>
          <w:rFonts w:ascii="Times New Roman" w:hAnsi="Times New Roman"/>
          <w:color w:val="000000"/>
          <w:sz w:val="16"/>
        </w:rPr>
        <w:t>(6) Other (expense) income, net, excludes interest income, interest expense, change in fair value of warrant liability, and gain on settlement of contingent liabilities, which are presented separately.</w:t>
      </w:r>
    </w:p>
    <w:p>
      <w:pPr>
        <w:pStyle w:val="TextBody"/>
        <w:bidi w:val="0"/>
        <w:spacing w:before="200" w:after="283"/>
        <w:jc w:val="both"/>
        <w:rPr>
          <w:rFonts w:ascii="Times New Roman" w:hAnsi="Times New Roman"/>
          <w:sz w:val="20"/>
        </w:rPr>
      </w:pPr>
      <w:r>
        <w:rPr>
          <w:rFonts w:ascii="Times New Roman" w:hAnsi="Times New Roman"/>
          <w:color w:val="000000"/>
          <w:sz w:val="20"/>
        </w:rPr>
        <w:t>The measure of segment assets,</w:t>
      </w:r>
      <w:r>
        <w:rPr>
          <w:rFonts w:ascii="Times New Roman" w:hAnsi="Times New Roman"/>
          <w:color w:val="373535"/>
          <w:sz w:val="20"/>
        </w:rPr>
        <w:t xml:space="preserve"> </w:t>
      </w:r>
      <w:r>
        <w:rPr>
          <w:rFonts w:ascii="Times New Roman" w:hAnsi="Times New Roman"/>
          <w:color w:val="000000"/>
          <w:sz w:val="20"/>
        </w:rPr>
        <w:t>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short-term investments, and there are no other significant segment assets that would require disclosure or are regularly provided to the CODM.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did not recognize revenue or hold material property and equipment outside of the United States for the six months ended June 30, 2026 and 2025, and as of June 30, 2026 and December 31, 2025, respectively.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evaluated subsequent events from June 30, 2026 through the date the financial statements were issued and has determined there are no other subsequent events that require disclosure or recognition in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10" w:name="part1_item2"/>
      <w:bookmarkEnd w:id="10"/>
      <w:r>
        <w:rPr>
          <w:rFonts w:ascii="Times New Roman" w:hAnsi="Times New Roman"/>
          <w:b/>
          <w:color w:val="231F2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is a discussion and analysis of our financial condition and results of operations as of, and for the periods presented. The following discussion and analysis of our financial condition and result of operations should be read in conjunction with the sections entitled “Risk Factors</w:t>
      </w:r>
      <w:r>
        <w:rPr>
          <w:rFonts w:ascii="Times New Roman" w:hAnsi="Times New Roman"/>
          <w:color w:val="000000"/>
          <w:sz w:val="20"/>
        </w:rPr>
        <w:t>”</w:t>
      </w:r>
      <w:r>
        <w:rPr>
          <w:rFonts w:ascii="Times New Roman" w:hAnsi="Times New Roman"/>
          <w:i/>
          <w:color w:val="000000"/>
          <w:sz w:val="20"/>
        </w:rPr>
        <w:t>, “Cautionary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with the unaudited condensed consolidated financial statements and accompanying notes included in this Quarterly Report on Form 10-Q. Certain information contained in this discussion and analysis includes forward-looking statements, including statements regarding our expectations for the future of our business and our liquidity and capital resources as well as other non-historical statements. These statements are based upon our current plans, expectations, and beliefs, and are subject to numerous risks and uncertainties, including those described in the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section of our Annual Report on Form 10-K</w:t>
      </w:r>
      <w:r>
        <w:rPr>
          <w:rFonts w:ascii="Times New Roman" w:hAnsi="Times New Roman"/>
          <w:color w:val="000000"/>
          <w:sz w:val="20"/>
        </w:rPr>
        <w:t xml:space="preserve"> </w:t>
      </w:r>
      <w:r>
        <w:rPr>
          <w:rFonts w:ascii="Times New Roman" w:hAnsi="Times New Roman"/>
          <w:i/>
          <w:color w:val="000000"/>
          <w:sz w:val="20"/>
        </w:rPr>
        <w:t xml:space="preserve">and the </w:t>
      </w:r>
      <w:r>
        <w:rPr>
          <w:rFonts w:ascii="Times New Roman" w:hAnsi="Times New Roman"/>
          <w:color w:val="000000"/>
          <w:sz w:val="20"/>
        </w:rPr>
        <w:t>“</w:t>
      </w:r>
      <w:r>
        <w:rPr>
          <w:rFonts w:ascii="Times New Roman" w:hAnsi="Times New Roman"/>
          <w:i/>
          <w:color w:val="000000"/>
          <w:sz w:val="20"/>
        </w:rPr>
        <w:t>Cautionary Note Regarding Forward-Looking Statements</w:t>
      </w:r>
      <w:r>
        <w:rPr>
          <w:rFonts w:ascii="Times New Roman" w:hAnsi="Times New Roman"/>
          <w:color w:val="000000"/>
          <w:sz w:val="20"/>
        </w:rPr>
        <w:t xml:space="preserve">” </w:t>
      </w:r>
      <w:r>
        <w:rPr>
          <w:rFonts w:ascii="Times New Roman" w:hAnsi="Times New Roman"/>
          <w:i/>
          <w:color w:val="000000"/>
          <w:sz w:val="20"/>
        </w:rPr>
        <w:t>sections of this Quarterly Report on Form 10-Q. Our actual results may differ materially from those contained in or implied by these forward-looking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company is a market-leading space and defense technology company providing comprehensive mission solutions to national security, government, and commercial customers with an established track record of success. Our mission is to reliably and repeatedly launch, land, and operate space systems from Earth to the Moon and beyond. Backed by our world-class team and proven technology, we have designed, developed, and deployed our class-leading launch vehicles and dynamic spacecraft solutions to support critical customer missions across the space domain. We operate as a single reportable segment and serve this critical domain through our differentiated and scalable platforms of Launch and Spacecraft Solutions.</w:t>
      </w:r>
    </w:p>
    <w:p>
      <w:pPr>
        <w:pStyle w:val="TextBody"/>
        <w:bidi w:val="0"/>
        <w:spacing w:before="200" w:after="200"/>
        <w:jc w:val="both"/>
        <w:rPr>
          <w:rFonts w:ascii="Times New Roman" w:hAnsi="Times New Roman"/>
          <w:sz w:val="20"/>
        </w:rPr>
      </w:pPr>
      <w:r>
        <w:rPr>
          <w:rFonts w:ascii="Times New Roman" w:hAnsi="Times New Roman"/>
          <w:b/>
          <w:color w:val="000000"/>
          <w:sz w:val="20"/>
        </w:rPr>
        <w:t>Launch:</w:t>
      </w:r>
      <w:r>
        <w:rPr>
          <w:rFonts w:ascii="Times New Roman" w:hAnsi="Times New Roman"/>
          <w:color w:val="000000"/>
          <w:sz w:val="20"/>
        </w:rPr>
        <w:t xml:space="preserve"> Our launch vehicles provide dedicated and responsive launch capabilities for national security, government, and commercial customers. We are the only U.S. company with a liquid-powered orbital launch vehicle in the 1,000-kilogram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in all of our rocket engines, which have been developed and tested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Built in collaboration with the SSC Space, the launch pad in Sweden will be our first expansion outside the U.S. and an initial step in our international market strategy. Sweden represents a proving ground for expansion of Alpha production and operations to U.S. allied nations – such as the United Kingdom, Japan, South Korea, Australia, and additional opportunities in Europe and the Middle East – as we look to serve global market demand for a sovereign-led franchise business model. </w:t>
      </w:r>
    </w:p>
    <w:p>
      <w:pPr>
        <w:pStyle w:val="TextBody"/>
        <w:bidi w:val="0"/>
        <w:jc w:val="both"/>
        <w:rPr>
          <w:rFonts w:ascii="Times New Roman" w:hAnsi="Times New Roman"/>
          <w:color w:val="000000"/>
          <w:sz w:val="20"/>
        </w:rPr>
      </w:pPr>
      <w:r>
        <w:rPr>
          <w:rFonts w:ascii="Times New Roman" w:hAnsi="Times New Roman"/>
          <w:color w:val="000000"/>
          <w:sz w:val="20"/>
        </w:rPr>
        <w:t xml:space="preserve">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00" w:after="283"/>
        <w:jc w:val="both"/>
        <w:rPr>
          <w:rFonts w:ascii="Times New Roman" w:hAnsi="Times New Roman"/>
          <w:sz w:val="20"/>
        </w:rPr>
      </w:pPr>
      <w:r>
        <w:rPr>
          <w:rFonts w:ascii="Times New Roman" w:hAnsi="Times New Roman"/>
          <w:b/>
          <w:color w:val="000000"/>
          <w:sz w:val="20"/>
        </w:rPr>
        <w:t>Spacecraft Solutions:</w:t>
      </w:r>
      <w:r>
        <w:rPr>
          <w:rFonts w:ascii="Times New Roman" w:hAnsi="Times New Roman"/>
          <w:color w:val="000000"/>
          <w:sz w:val="20"/>
        </w:rPr>
        <w:t xml:space="preserve"> Firefly is the only company to achieve a fully successful Moon landing, completing 100% of our mission objectives set out before launch. Following the first Blue Ghost mission, we have a total of four additional missions under NASA CLPS task orders. We expect our Blue Ghost lander to fly regular missions to the Moon, with payload services customized to the technology and exploration goals of our customers. Offering ride-share opportunities and dedicated missions, Blue Ghost is built to host and deliver payloads nearly anywhere on the lunar surface, as well as other planetary bodies. The next Blue Ghost Mission is expected to land on the far side of the Moon and conduct at least 10 days of Blue Ghost lander lunar surface operations, with an Elytra spacecraft supporting as a communications relay. This Elytra spacecraft is expected to remain operational in lunar orbit for up to five years. The second Blue Ghost mission is fully manifested with both NASA and commercial payloads, including a commercial rover and a ride-sharing international satellite. The remaining Blue Ghost missions include one to the Moon’s Gruithuisen Domes (for which we have selected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Blue Origin as a partner to develop a rover to be delivered to the lunar surface), as well as another to the lunar south pole. Or most recent award will return to the Moons near side. All Blue Ghost Missions are carrying NASA and commercial payloads.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long-range communications relay, on-orbit edge processing, and advanced space exploration missions. A constellation of Elytra is expected to power a future long-haul communications relay for multiple customers. Blue Ghost and Elytra are highly complementary and compatible technologies that share a common core. Most of Elytra’s core hardware and software were proven at a variety of orbits through Blue Ghost’s successful first mission. As part of our end-to-end space services, Elytra offers robust on-orbit solutions and responsive defense capabilities when and where customers need them. Elytra is currently contracted to perform a responsive on-orbit mission in support of the U.S. Department of War’s (the “DoW”) Defense Innovation Unit (“DIU”). During this mission, Elytra will serve as a space maneuver vehicle to perform a series of on-orbit tasks including space domain awareness operations in Low Earth Orbit (“LEO”). Firefly is also contracted with NASA’s Jet Propulsion Laboratory to deliver four drones to the Moon’s south pole using an Elytra in support of the agency’s MoonFall mission.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Firefly was selected by NASA’s Jet Propulsion Laboratory to manufacture, test, and deliver the aeroshell for NASA’s SkyFall mission to Mars. The mission, which is managed by JPL, will deploy three heritage Mars helicopters to perform science and demonstrate airborne subsurface mapping and resource prospecting. Firefly’s innovation lab is responsible for developing and manufacturing the SkyFall aeroshell, which consists of both a backshell and heatshield.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31, 2025, we completed the acquisition of SciTec, which bolsters Spacecraft Solutions hardware with AI-enabled defense software proven in operations for missile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enable rapid decision making for warfighters, supports defense applications, and unlocks new service categories for commercial and government deep space missions. More broadly, SciTec’s support of national security programs advances U.S. and allied defense capabilities, including Golden Dome, with a full suite of hardware and software for space-based interceptor missions, hypersonic test missions, and space domain awareness missions.</w:t>
      </w:r>
    </w:p>
    <w:p>
      <w:pPr>
        <w:pStyle w:val="TextBody"/>
        <w:bidi w:val="0"/>
        <w:jc w:val="both"/>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Our track record of success and our reputation as a trusted provider for our customers results in a highly attractive, diversified business model defined by significant backlog and cash flow visibility. Strong customer demand backs our financial profile with approximately $1.5 billion in backlog and multi-launch agreements across our product lines as of June 30, 2026.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firm-fixed-price contracts. We are ahead of the curve as the industry shifts in favor of firm-fixed-price contracts and are well-positioned to capitalize on this change. The addition of SciTec further diversifies our customer base and adds a mixture of cost-plus and firm-fixed-price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NASA, the U.S. Space Force, Missile Defense Agency, National Geospatial-Intelligence Agency, Space Development Agency, and the National Reconnaissance Office demonstrate the value and criticality of our new space defense and technology leadership in this market. </w:t>
      </w:r>
    </w:p>
    <w:p>
      <w:pPr>
        <w:pStyle w:val="TextBody"/>
        <w:bidi w:val="0"/>
        <w:spacing w:before="200" w:after="283"/>
        <w:jc w:val="both"/>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We strategically deploy capital to build state-of-the-art infrastructure to design, produce, test, and manufacture our products to the highest standard at a regular cadence. We have four primary facilities supporting our corporate operations and launch vehicle and spacecraft production – Nexus corporate headquarters, Hive and Cortex spacecraft facilities, and Rocket Ranch manufacturing and testing site, which are only 25 miles apart, providing unique proximity between design, manufacturing, and production. The proximity of these facilities enables agile and rapid vehicle development and production at lower cost versus competitors. The acquisition of SciTec adds data centers, modeling and simulation labs, mission operations centers, and classified infrastructure with six locations strategically positioned near key space and defense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purpose-built research and development,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we scale, we have and expect to continue to replicate our proprietary manufacturing and testing processes, resulting in reduced cycle times and further capital efficiency.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have deep, long-term relationships with our key suppliers. By maintaining a vertically-integrated manufacturing process, we are less reliant on the timelines of outside suppliers and reduce risk within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full suite of manufacturing capabilities is supplemented by multiple launch sites, both active and under development, which will continue to enhance flexibility and responsiveness for our missions. We are currently launching from the Vandenberg Space Force Base launch site in California. Launch sites are under construction at Virginia’s Mid-Atlantic Regional Spaceport on Wallops Island and the Esrange Space Center in Sweden, and we are pursuing additional opportunities to unlock future launch pad capacity. Our significant scale and unique blueprint are strategically planned to support our increasing launch cadence as we grow.</w:t>
      </w:r>
    </w:p>
    <w:p>
      <w:pPr>
        <w:pStyle w:val="TextBody"/>
        <w:bidi w:val="0"/>
        <w:spacing w:before="200" w:after="200"/>
        <w:jc w:val="both"/>
        <w:rPr>
          <w:rFonts w:ascii="Times New Roman" w:hAnsi="Times New Roman"/>
          <w:sz w:val="20"/>
        </w:rPr>
      </w:pPr>
      <w:r>
        <w:rPr>
          <w:rFonts w:ascii="Times New Roman" w:hAnsi="Times New Roman"/>
          <w:b/>
          <w:i/>
          <w:color w:val="000000"/>
          <w:sz w:val="20"/>
        </w:rPr>
        <w:t>Backlog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growth in backlog as a key measure of our business growth. Backlog represents our estimate of the revenue we expect to realize in future periods as a result of performing work on contracts that have been awarded to us, net of any revenue already recognized. We include the aggregate expected revenue of awarded contracts in our backlog upon the execution of a legally binding agreement, even though our contracts include certain termination rights exercisable by our customers with advance notice. Deferred revenue recognized on our consolidated balance sheets consists of payments and billings that we have received in excess of revenue that we have recognized. Because cash receipts from these contracts have not been recognized into revenue, they are included in our backlog calculation.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backlog as a key measure of our future business prospects. We monitor our backlog because we believe it is a forward-looking indicator of potential revenue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tbl>
      <w:tblPr>
        <w:tblW w:w="4472" w:type="dxa"/>
        <w:jc w:val="left"/>
        <w:tblInd w:w="0" w:type="dxa"/>
        <w:tblLayout w:type="fixed"/>
        <w:tblCellMar>
          <w:top w:w="28" w:type="dxa"/>
          <w:left w:w="28" w:type="dxa"/>
          <w:bottom w:w="28" w:type="dxa"/>
          <w:right w:w="28" w:type="dxa"/>
        </w:tblCellMar>
      </w:tblPr>
      <w:tblGrid>
        <w:gridCol w:w="1441"/>
        <w:gridCol w:w="146"/>
        <w:gridCol w:w="211"/>
        <w:gridCol w:w="931"/>
        <w:gridCol w:w="146"/>
        <w:gridCol w:w="146"/>
        <w:gridCol w:w="232"/>
        <w:gridCol w:w="1028"/>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amounts relate to executed multi-launch agreements where the missions have not yet been scheduled as of the backlog date. These amounts are included as part of the total backlog.</w:t>
      </w:r>
    </w:p>
    <w:tbl>
      <w:tblPr>
        <w:tblW w:w="5672"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68"/>
        <w:gridCol w:w="992"/>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Multi-launch agreement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 and Key Factors Affecting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Macroeconomic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Beginning in early 2025, the U.S. presidential administration announced the imposition of tariffs on substantially all countries that trade with the United States, certain of which were subsequently paused. Although the majority of the previously announced tariffs were determined to be unconstitutional, more tariffs may be added in the future under separate statutory authority and countermeasures still may be adopted by other countries. In addition,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customers, it would likely increase our costs and, as a result, decrease our gross margins, operating income, and net income. The impact of tariffs on our business and results of operations will depend on their timing, duration and magnitude.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Environment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Any changes in budget and spending levels, policies, or priorities, 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Pace of Government Expenditures and Private Enterprise Investment in the Space Economy</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Any future prolonged U.S. government shutdown or the adoption of a </w:t>
      </w:r>
      <w:r>
        <w:rPr>
          <w:rFonts w:ascii="Times New Roman" w:hAnsi="Times New Roman"/>
          <w:color w:val="000000"/>
          <w:sz w:val="20"/>
        </w:rPr>
        <w:t>“</w:t>
      </w:r>
      <w:r>
        <w:rPr>
          <w:rFonts w:ascii="Times New Roman" w:hAnsi="Times New Roman"/>
          <w:color w:val="212529"/>
          <w:sz w:val="20"/>
        </w:rPr>
        <w:t>continuing resolution</w:t>
      </w:r>
      <w:r>
        <w:rPr>
          <w:rFonts w:ascii="Times New Roman" w:hAnsi="Times New Roman"/>
          <w:color w:val="000000"/>
          <w:sz w:val="20"/>
        </w:rPr>
        <w:t>”</w:t>
      </w:r>
      <w:r>
        <w:rPr>
          <w:rFonts w:ascii="Times New Roman" w:hAnsi="Times New Roman"/>
          <w:color w:val="212529"/>
          <w:sz w:val="20"/>
        </w:rPr>
        <w:t xml:space="preserve"> requiring the government to operate on funding levels equivalent to its prior fiscal year, could have an adverse impact on our results and growth plans. Additionally, a prolonged shutdown and any subsequent lapse in federal funding could cause U.S. federal government agencies to reduce their purchases under contracts, exercise their right to terminate contracts, or delay or pause new programs or funding existing programs, all of which could decrease our revenue and materially adversely impact our business, revenue,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the Expansion of Launch and Spacecraft Solutions Mission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The markets we serve are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 on a timely basis. As a result, our revenue and results of operations are subject to fluctuation depending on the number of launch missions scheduled and completed in a period and any launch delays.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We expect to continue to ramp up our launch cadence as we increase our production rate on Alpha rockets, and complete development of Eclipse. We successfully completed our first lunar landing on March 2, 2025, with four additional Blue Ghost missions planned through 2029. </w:t>
      </w:r>
      <w:r>
        <w:rPr>
          <w:rFonts w:ascii="Times New Roman" w:hAnsi="Times New Roman"/>
          <w:color w:val="000000"/>
          <w:sz w:val="20"/>
        </w:rPr>
        <w:t xml:space="preserve">Empowered by our successful Blue Ghost mission and common technologies across spacecraft, we believe we are well positioned to unlock adjacent markets and contracts via our multi-mission orbital vehicle, Elytra. </w:t>
      </w:r>
      <w:r>
        <w:rPr>
          <w:rFonts w:ascii="Times New Roman" w:hAnsi="Times New Roman"/>
          <w:color w:val="212529"/>
          <w:sz w:val="20"/>
        </w:rPr>
        <w:t xml:space="preserve">Any delays in commencing our missions, including due to delays or cost overruns in obtaining licenses or other regulatory approvals, launch delays or operational failures (such as our test stand anomaly in September 2025), or entering into future agreements with additional customers could adversely impact our ability to generate revenue, results of operations, and growth plans. We have approximately </w:t>
      </w:r>
      <w:r>
        <w:rPr>
          <w:rFonts w:ascii="Times New Roman" w:hAnsi="Times New Roman"/>
          <w:color w:val="000000"/>
          <w:sz w:val="20"/>
        </w:rPr>
        <w:t>$1.5</w:t>
      </w:r>
      <w:r>
        <w:rPr>
          <w:rFonts w:ascii="Times New Roman" w:hAnsi="Times New Roman"/>
          <w:color w:val="212529"/>
          <w:sz w:val="20"/>
        </w:rPr>
        <w:t xml:space="preserve"> billion in backlog as of June 30, 2026, and we are in active discussions with numerous potential customers, including government agencies and private companies, to potentially add to our backlog.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Improve Profit Margins and Scale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and missions.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to Innovate and Expand our Service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continue gaining market share and attracting customers, we plan to continue to make substantial investments in research and development (“R&amp;D”) for the continued enhancements of our Launch and Spacecraft Solutions products.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offerings to facilitate payload hosting services, transport services, utility services, and data services in LEO, MEO, and GEO. Our acquisition of SciTec adds the development of adaptable missile defense and mission data processing capability to our Spacecraft Solutions service portfolio. We plan to continue to forge strategic partnerships with industry leaders to enhance our technological capabilities and market reach.</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 </w:t>
      </w:r>
      <w:r>
        <w:rPr>
          <w:rFonts w:ascii="Times New Roman" w:hAnsi="Times New Roman"/>
          <w:color w:val="000000"/>
          <w:sz w:val="20"/>
        </w:rPr>
        <w:t xml:space="preserve">Our revenue is primarily derived from long-term contracts to provide launch and integration services for payloads requiring transportation into orbit via launch vehicles and to provide end-to-end services for the development and integration of platforms and systems for space domain and national defense mission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including the development of launch sites and related components, and to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integrate payloads into Blue Ghost and Elytra for transport to the Moon and for on-orbit space domain awareness missions, respectively, as well as to develop and provide software, sensor, and data processing capabilities for national defense missions. These contracts include firm-fixed-price, cost-plus, and time-and-materials pricing structures. For commercial payload services we consider the performance obligation to be the integration of customer payloads for delivery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us, or (2) the customer receives and consumes benefits as work is completed and we have an enforceable right to payment for performance completed to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is determined at contract inception to obtain substantially all of the economic benefits,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we consider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 work under contracts that broadly consist of firm-fixed-price, cost-plus, cost reimbursable, and time-and-materials arrangements, or a combination thereof. Pricing is contractually based on specific negotiations with each customer. Advanced payments and billings for milestones in excess of revenues recognized are recorded as current and non-current deferred revenue in our consolidated balance sheets and recognized into revenue as we satisfy the underlying performance obligations. Occasionally we recognize revenue in advance of customer billings which creates a contract asset recorded within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Cost-reimbursable, cost-plus, and time-and-materials contracts with the U.S. government are generally subject to the Federal Acquisition Regulations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 xml:space="preserve">– primarily consists of raw materials, employee and contractor compensation, and other costs directly attributable to fulfilling our obligations under customer contracts. Costs of sales are expensed as incurred. We expect our cost of sales to increase in relative and absolute dollars in future periods as we sell more services and as our products mature to technological feasibility and reach full-rate production.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Research and Development – </w:t>
      </w:r>
      <w:r>
        <w:rPr>
          <w:rFonts w:ascii="Times New Roman" w:hAnsi="Times New Roman"/>
          <w:color w:val="000000"/>
          <w:sz w:val="20"/>
        </w:rPr>
        <w:t>includes employee and contractor compensation, supplies and materials for new service development, depreciation 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our products reach technological feasibility and full-rate production.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Selling, General, and Administrative </w:t>
      </w:r>
      <w:r>
        <w:rPr>
          <w:rFonts w:ascii="Times New Roman" w:hAnsi="Times New Roman"/>
          <w:color w:val="000000"/>
          <w:sz w:val="20"/>
        </w:rPr>
        <w:t>–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and transaction-related costs. Selling, general, and administrative expenses are expensed as incurred. We expect to incur additional selling, general, and administrative expenses as we grow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Warrant Liability</w:t>
      </w:r>
      <w:r>
        <w:rPr>
          <w:rFonts w:ascii="Times New Roman" w:hAnsi="Times New Roman"/>
          <w:color w:val="000000"/>
          <w:sz w:val="20"/>
        </w:rPr>
        <w:t xml:space="preserve"> – represents the period-over-period remeasurement gain or loss recognized related to our liability-classified warrants.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 consists primarily of interest income earned on cash and cash equivalents and short-term investments.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consists primarily of interest expense incurred on borrowings.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Gain on Settlement of Contingent Liabilities </w:t>
      </w:r>
      <w:r>
        <w:rPr>
          <w:rFonts w:ascii="Times New Roman" w:hAnsi="Times New Roman"/>
          <w:color w:val="000000"/>
          <w:sz w:val="20"/>
        </w:rPr>
        <w:t>– reflects the derecognition of contingent liabilities due to the resolution of certain litigation and contract disputes during the year, net of the derecognition of related contract assets.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Other Income (Expense), Net – </w:t>
      </w:r>
      <w:r>
        <w:rPr>
          <w:rFonts w:ascii="Times New Roman" w:hAnsi="Times New Roman"/>
          <w:color w:val="000000"/>
          <w:sz w:val="20"/>
        </w:rPr>
        <w:t>reflects miscellaneous income and expense unrelated to our core business activities.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(Benefit) Provision for Income Taxes – </w:t>
      </w:r>
      <w:r>
        <w:rPr>
          <w:rFonts w:ascii="Times New Roman" w:hAnsi="Times New Roman"/>
          <w:color w:val="000000"/>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discusses our results of operations for the three and six months ended June 30, 2026 and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Comparison of the Three Months Ended June 30, 2026 to the Three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9396" w:type="dxa"/>
        <w:jc w:val="left"/>
        <w:tblInd w:w="0" w:type="dxa"/>
        <w:tblLayout w:type="fixed"/>
        <w:tblCellMar>
          <w:top w:w="28" w:type="dxa"/>
          <w:left w:w="28" w:type="dxa"/>
          <w:bottom w:w="28" w:type="dxa"/>
          <w:right w:w="28" w:type="dxa"/>
        </w:tblCellMar>
      </w:tblPr>
      <w:tblGrid>
        <w:gridCol w:w="3816"/>
        <w:gridCol w:w="146"/>
        <w:gridCol w:w="211"/>
        <w:gridCol w:w="781"/>
        <w:gridCol w:w="166"/>
        <w:gridCol w:w="146"/>
        <w:gridCol w:w="211"/>
        <w:gridCol w:w="736"/>
        <w:gridCol w:w="166"/>
        <w:gridCol w:w="146"/>
        <w:gridCol w:w="211"/>
        <w:gridCol w:w="781"/>
        <w:gridCol w:w="166"/>
        <w:gridCol w:w="146"/>
        <w:gridCol w:w="255"/>
        <w:gridCol w:w="736"/>
        <w:gridCol w:w="5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tbl>
      <w:tblPr>
        <w:tblW w:w="7405" w:type="dxa"/>
        <w:jc w:val="left"/>
        <w:tblInd w:w="0" w:type="dxa"/>
        <w:tblLayout w:type="fixed"/>
        <w:tblCellMar>
          <w:top w:w="28" w:type="dxa"/>
          <w:left w:w="28" w:type="dxa"/>
          <w:bottom w:w="28" w:type="dxa"/>
          <w:right w:w="28" w:type="dxa"/>
        </w:tblCellMar>
      </w:tblPr>
      <w:tblGrid>
        <w:gridCol w:w="2476"/>
        <w:gridCol w:w="146"/>
        <w:gridCol w:w="211"/>
        <w:gridCol w:w="781"/>
        <w:gridCol w:w="146"/>
        <w:gridCol w:w="146"/>
        <w:gridCol w:w="211"/>
        <w:gridCol w:w="676"/>
        <w:gridCol w:w="146"/>
        <w:gridCol w:w="146"/>
        <w:gridCol w:w="211"/>
        <w:gridCol w:w="781"/>
        <w:gridCol w:w="146"/>
        <w:gridCol w:w="146"/>
        <w:gridCol w:w="103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1,077%</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657%</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Total revenue increased by $102.1 million, or 657%, to $117.7 million during the three months ended June 30, 2026 from $15.5 million during the three months ended June 30, 2025, primarily driven by the factors discussed below.</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$3.1 million, or 48%, to $9.4 million during the three months ended June 30, 2026 from $6.3 million during the three months ended June 30, 2025, primarily due to our progress on engineering services contracts for the development of launch facilities.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$99.1 million, or 1,077%, to $108.3 million during the three months ended June 30, 2026 from $9.2 million during the three months ended June 30, 2025 driven by the inclusion of SciTec, which was acquired in the fourth quarter of 2025, and continued progress on our Blue Ghost and Elytra spacecraft missions.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$82.3 million, or 712%, to $93.8 million during the three months ended June 30, 2026 from $11.6 million during the three months ended June 30, 2025, aligning with the increases in revenue related to our Spacecraft Solutions and Launch programs.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$25.8 million, or 56%, to $71.5 million during the three months ended June 30, 2026 from $45.8 million during the three months ended June 30, 2025. The growth is primarily driven by an increase in costs related to the Alpha program associated with ramping production on our Alpha Block II configuration upgrade, stock-based compensation expense, depreciation and amortization from newly acquired assets being placed into service, and other R&amp;D initiatives.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$35.0 million, or 278%, to $47.5 million during the three months ended June 30, 2026 from $12.6 million during the three months ended June 30, 2025, the increase was primarily driven by the inclusion of SciTec expenses, stock-based compensation expense, and public company costs.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 in fair value of warrant liability decreased by $3.6 million, or 85%, to $0.6 million during the three months ended June 30, 2026 from $4.2 million during the three months ended June 30, 2025. The Company measures the value of the underlying warrant liabilities at fair value which are subject to re-measurement at each balance sheet date, with any change in fair value recognized in the statements of net loss and comprehensive loss. The change from the prior period is primarily driven by changes in the valuation assumptions used to measure the warrants at fair value which differ from the prior period when the Company was not publicly traded.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$2.6 million, or 146%, to $4.3 million during the three months ended June 30, 2026 from $1.8 million during the three months ended June 30, 2025, reflecting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$5.2 million, or 74%, to $1.8 million during the three months ended June 30, 2026 from $7.0 million during the three months ended June 30, 2025. Interest expense during the three months ended June 30, 2025 was primarily comprised of interest related to the Term Loans.</w:t>
      </w:r>
    </w:p>
    <w:p>
      <w:pPr>
        <w:pStyle w:val="TextBody"/>
        <w:bidi w:val="0"/>
        <w:jc w:val="both"/>
        <w:rPr>
          <w:rFonts w:ascii="Times New Roman" w:hAnsi="Times New Roman"/>
          <w:b/>
          <w:i/>
          <w:color w:val="000000"/>
          <w:sz w:val="20"/>
        </w:rPr>
      </w:pPr>
      <w:r>
        <w:rPr>
          <w:rFonts w:ascii="Times New Roman" w:hAnsi="Times New Roman"/>
          <w:b/>
          <w:i/>
          <w:color w:val="000000"/>
          <w:sz w:val="20"/>
        </w:rPr>
        <w:t>Benefit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benefit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Comparison of the Six Months Ended June 30, 2026 to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10129" w:type="dxa"/>
        <w:jc w:val="left"/>
        <w:tblInd w:w="0" w:type="dxa"/>
        <w:tblLayout w:type="fixed"/>
        <w:tblCellMar>
          <w:top w:w="28" w:type="dxa"/>
          <w:left w:w="28" w:type="dxa"/>
          <w:bottom w:w="28" w:type="dxa"/>
          <w:right w:w="28" w:type="dxa"/>
        </w:tblCellMar>
      </w:tblPr>
      <w:tblGrid>
        <w:gridCol w:w="3816"/>
        <w:gridCol w:w="146"/>
        <w:gridCol w:w="235"/>
        <w:gridCol w:w="939"/>
        <w:gridCol w:w="185"/>
        <w:gridCol w:w="163"/>
        <w:gridCol w:w="185"/>
        <w:gridCol w:w="163"/>
        <w:gridCol w:w="235"/>
        <w:gridCol w:w="939"/>
        <w:gridCol w:w="166"/>
        <w:gridCol w:w="146"/>
        <w:gridCol w:w="211"/>
        <w:gridCol w:w="781"/>
        <w:gridCol w:w="166"/>
        <w:gridCol w:w="146"/>
        <w:gridCol w:w="255"/>
        <w:gridCol w:w="736"/>
        <w:gridCol w:w="51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41,336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139,041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(188,963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p>
      <w:pPr>
        <w:pStyle w:val="TextBody"/>
        <w:bidi w:val="0"/>
        <w:jc w:val="left"/>
        <w:rPr/>
      </w:pPr>
      <w:r>
        <w:rPr/>
        <w:t> </w:t>
      </w:r>
    </w:p>
    <w:tbl>
      <w:tblPr>
        <w:tblW w:w="8648" w:type="dxa"/>
        <w:jc w:val="left"/>
        <w:tblInd w:w="0" w:type="dxa"/>
        <w:tblLayout w:type="fixed"/>
        <w:tblCellMar>
          <w:top w:w="28" w:type="dxa"/>
          <w:left w:w="28" w:type="dxa"/>
          <w:bottom w:w="28" w:type="dxa"/>
          <w:right w:w="28" w:type="dxa"/>
        </w:tblCellMar>
      </w:tblPr>
      <w:tblGrid>
        <w:gridCol w:w="2476"/>
        <w:gridCol w:w="146"/>
        <w:gridCol w:w="296"/>
        <w:gridCol w:w="1095"/>
        <w:gridCol w:w="204"/>
        <w:gridCol w:w="204"/>
        <w:gridCol w:w="296"/>
        <w:gridCol w:w="948"/>
        <w:gridCol w:w="146"/>
        <w:gridCol w:w="146"/>
        <w:gridCol w:w="211"/>
        <w:gridCol w:w="781"/>
        <w:gridCol w:w="14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198,562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$11.1 million, or 97%, to $22.7 million during the six months ended June 30, 2026 from $11.5 million during the six months ended June 30, 2025, primarily due to our successful Alpha Flight 7 launch, increased progress on Eclipse design and manufacturing, and engineering services contracts for the development of launch facilities.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$116.0 million, or 194%, to $175.9 million during the six months ended June 30, 2026 from $59.9 million during the six months ended June 30, 2025 driven by the inclusion of SciTec, which was acquired in the fourth quarter of 2025, and continued progress on our Blue Ghost and Elytra spacecraft missions. The six months ended June 30, 2025 included revenue related to the successful completion of our first Blue Ghost mission.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$92.0 million, or 141%, to $157.2 million during the six months ended June 30, 2026 from $65.2 million during the six months ended June 30, 2025, aligning with the increases in revenue related to our Spacecraft Solutions and Launch programs.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$45.3 million, or 48%, to $139.0 million during the six months ended June 30, 2026 from $93.8 million during the six months ended June 30, 2025. The growth is primarily driven by an increase in costs related to the Alpha program associated with the launch of Alpha Flight 7 and ramping production on our Alpha Block II configuration upgrade, stock-based compensation expense, depreciation and amortization from newly acquired assets being placed into service, and other R&amp;D initiatives.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$67.8 million, or 268%, to $93.2 million during the six months ended June 30, 2026 from $25.3 million during the six months ended June 30, 2025, the increase was primarily driven by the addition of SciTec, which was acquired in the fourth quarter of 2025, stock-based compensation expense, and public company costs.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 in fair value of warrant liability increased by $3.2 million, or 285%, to $4.3 million during the six months ended June 30, 2026 from $1.1 million during the six months ended June 30, 2025. The Company measures the value of the underlying warrant liabilities at fair value which are subject to re-measurement at each balance sheet date, with any change in fair value recognized in the statements of net loss and comprehensive loss. The change from the prior period is primarily driven by changes in the valuation assumptions used to measure the warrants at fair value which differ from the prior period when the Company was not publicly traded.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$7.5 million, or 270%, to $10.3 million during the six months ended June 30, 2026 from $2.8 million during the six months ended June 30, 2025, reflecting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$7.8 million, or 59%, to $5.4 million during the six months ended June 30, 2026 from $13.2 million during the six months ended June 30, 2025. Interest expense during the six months ended June 30, 2025 was primarily comprised of interest related to the Term Loans.</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net loss, adjusted for (benefit) provision for income taxes, interest income, interest expense, depreciation and amortization, stock-based compensation expense, the change in fair value of warrant liability, certain one-time costs related to the IPO, transaction-related expenses, gain on settlement of contingent liabilities, and certain other items that are not expected to recur in the future or that management does not view as reflective of the performance of the business. In addition to net loss, we use Adjusted EBITDA to evaluate our business, measure its performance, and make strategic decisions.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presentation of Adjusted EBITDA should not be construed as an inference that our future results will be unaffected by unusual or non-recurring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Adjusted EBITDA, reconciled to net loss for the periods indicated:</w:t>
      </w:r>
    </w:p>
    <w:tbl>
      <w:tblPr>
        <w:tblW w:w="10205" w:type="dxa"/>
        <w:jc w:val="left"/>
        <w:tblInd w:w="0" w:type="dxa"/>
        <w:tblLayout w:type="fixed"/>
        <w:tblCellMar>
          <w:top w:w="28" w:type="dxa"/>
          <w:left w:w="28" w:type="dxa"/>
          <w:bottom w:w="28" w:type="dxa"/>
          <w:right w:w="28" w:type="dxa"/>
        </w:tblCellMar>
      </w:tblPr>
      <w:tblGrid>
        <w:gridCol w:w="3080"/>
        <w:gridCol w:w="346"/>
        <w:gridCol w:w="274"/>
        <w:gridCol w:w="958"/>
        <w:gridCol w:w="215"/>
        <w:gridCol w:w="189"/>
        <w:gridCol w:w="274"/>
        <w:gridCol w:w="958"/>
        <w:gridCol w:w="346"/>
        <w:gridCol w:w="346"/>
        <w:gridCol w:w="244"/>
        <w:gridCol w:w="976"/>
        <w:gridCol w:w="192"/>
        <w:gridCol w:w="169"/>
        <w:gridCol w:w="244"/>
        <w:gridCol w:w="976"/>
        <w:gridCol w:w="418"/>
      </w:tblGrid>
      <w:tr>
        <w:trPr/>
        <w:tc>
          <w:tcPr>
            <w:tcW w:w="30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(61,214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(47,903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(125,923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(95,036</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color w:val="000000"/>
          <w:sz w:val="16"/>
        </w:rPr>
      </w:pPr>
      <w:r>
        <w:rPr>
          <w:rFonts w:ascii="Times New Roman" w:hAnsi="Times New Roman"/>
          <w:color w:val="000000"/>
          <w:sz w:val="16"/>
        </w:rPr>
        <w:t>(1)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 Other includes loss on foreign exchange.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is a non-GAAP financial measure. We define Free Cash Flow as net cash used in operating activities, less purchases of property and equipment and internal-use software. We believe that Free Cash Flow is a meaningful indicator of liquidity that provides information to management and investors about the amount of cash generated from or used in operations, after purchases of property and equipment and internal-use software, that (after any debt service requirements or other non-discretionary expenditures not otherwise deducted from the measure) can be used for strategic initiatives, including continuous investment in our business and strengthening our balance sheet.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a reconciliation of net cash used in operating activities, the most directly comparable financial measure presented in accordance with U.S. GAAP, to Free Cash Flow:</w:t>
      </w:r>
    </w:p>
    <w:tbl>
      <w:tblPr>
        <w:tblW w:w="8592" w:type="dxa"/>
        <w:jc w:val="left"/>
        <w:tblInd w:w="0" w:type="dxa"/>
        <w:tblLayout w:type="fixed"/>
        <w:tblCellMar>
          <w:top w:w="28" w:type="dxa"/>
          <w:left w:w="28" w:type="dxa"/>
          <w:bottom w:w="28" w:type="dxa"/>
          <w:right w:w="28" w:type="dxa"/>
        </w:tblCellMar>
      </w:tblPr>
      <w:tblGrid>
        <w:gridCol w:w="5191"/>
        <w:gridCol w:w="146"/>
        <w:gridCol w:w="278"/>
        <w:gridCol w:w="1108"/>
        <w:gridCol w:w="218"/>
        <w:gridCol w:w="192"/>
        <w:gridCol w:w="278"/>
        <w:gridCol w:w="97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and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(185,199</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color w:val="000000"/>
          <w:sz w:val="20"/>
        </w:rPr>
        <w:t>We measure liquidity in terms of our ability to fund the cash requirements of our business operations, including working capital needs, capital expenditures, contractual obligations, debt service, acquisitions, and other commitments</w:t>
      </w:r>
      <w:r>
        <w:rPr>
          <w:rFonts w:ascii="Times New Roman" w:hAnsi="Times New Roman"/>
          <w:color w:val="FF0000"/>
          <w:sz w:val="20"/>
        </w:rPr>
        <w:t xml:space="preserve"> </w:t>
      </w:r>
      <w:r>
        <w:rPr>
          <w:rFonts w:ascii="Times New Roman" w:hAnsi="Times New Roman"/>
          <w:color w:val="000000"/>
          <w:sz w:val="20"/>
        </w:rPr>
        <w:t xml:space="preserve">with cash flows from operations and other sources of funding. Our principal sources of liquidity to date have included amounts raised through issuances of equity capital and borrowings under our financing agreements.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w:t>
      </w:r>
    </w:p>
    <w:p>
      <w:pPr>
        <w:pStyle w:val="TextBody"/>
        <w:bidi w:val="0"/>
        <w:jc w:val="both"/>
        <w:rPr>
          <w:rFonts w:ascii="Times New Roman" w:hAnsi="Times New Roman"/>
          <w:color w:val="000000"/>
          <w:sz w:val="20"/>
        </w:rPr>
      </w:pPr>
      <w:r>
        <w:rPr>
          <w:rFonts w:ascii="Times New Roman" w:hAnsi="Times New Roman"/>
          <w:color w:val="000000"/>
          <w:sz w:val="20"/>
        </w:rPr>
        <w:t>As of June 30, 2026,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June 30, 2026, our current deferred revenue totaled $151.2 million. This is primarily due to the timing and nature of our deferred revenue where advanced payments and billings in excess of revenues recognized are recorded as deferred revenue and recognized into revenue as we satisfy the underlying performance obligation. Due to the nature of our supplier and customer contracts as well as the timing of payments, we expect to continue to fluctuate between a surplus and a deficit of net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our cash and cash equivalents, and short-term investments amounted to $635.3 million, and our financial debt amounted to $27.0 million. The Revolving Credit Facility was undrawn as of June 30, 2026. We have a limited history of operations and have incurred negative cash flows from operating activities and losses from operations in the past as reflected in our accumulated deficit of $1.2 billion as of June 30, 2026. We believe that our cash and cash equivalents, and short-term investments, in addition to our available Revolving Credit Facility,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 Further, our liquidity is affected by government budget and spending levels, and if a future prolonged government shutdown occurs, we could be at risk of reduced orders, program cancellations, and other disruptions and nonpayment.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1, 2026, we completed an underwritten primary offering of 4.0 million shares of our common stock at a price of $48.00 per share. In addition, entities affiliated with AE Industrial Partners, an existing stockholder, completed a secondary offering of 8.0 million shares. We received total net proceeds of $181.6 million after deducting underwriting discounts and commissions of $7.9 million and other offering expenses of $2.6 million. We did not receive any proceeds from secondary offering of shares.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 Credit Agreement</w:t>
      </w:r>
    </w:p>
    <w:p>
      <w:pPr>
        <w:pStyle w:val="TextBody"/>
        <w:bidi w:val="0"/>
        <w:spacing w:before="200" w:after="283"/>
        <w:jc w:val="both"/>
        <w:rPr>
          <w:rFonts w:ascii="Times New Roman" w:hAnsi="Times New Roman"/>
          <w:sz w:val="20"/>
        </w:rPr>
      </w:pPr>
      <w:r>
        <w:rPr>
          <w:rFonts w:ascii="Times New Roman" w:hAnsi="Times New Roman"/>
          <w:color w:val="231F20"/>
          <w:sz w:val="20"/>
        </w:rPr>
        <w:t>On July 17, 2023, we entered into a credit agreement (as further amended from time to time, the “Prior Credit Agreement”) with</w:t>
      </w:r>
      <w:r>
        <w:rPr>
          <w:rFonts w:ascii="Times New Roman" w:hAnsi="Times New Roman"/>
          <w:color w:val="000000"/>
          <w:sz w:val="20"/>
        </w:rPr>
        <w:t xml:space="preserve"> </w:t>
      </w:r>
      <w:r>
        <w:rPr>
          <w:rFonts w:ascii="Times New Roman" w:hAnsi="Times New Roman"/>
          <w:color w:val="231F20"/>
          <w:sz w:val="20"/>
        </w:rPr>
        <w:t>various lenders and U.S. Bank Trust Company, N.A. in its capacity as collateral agent for the lenders. The Prior Credit Agreement provided term loan commitments in the aggregate principal amount of $136.1 million. The Prior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we used a portion of the net proceeds from the IPO to repay all of the borrowings under the Prior Credit Agreement, together with the specified prepayment premium of $11.4 million, and accrued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11 to our unaudited condensed consolidated financial statements included elsewhere in this Quarterly Report on Form 10-Q for more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7, 2025, we amended the New Credit Agreement. The amendment, among other things, increased the commitments under the Revolving Credit Facility by $135.0 million for an aggregate principal amount of $260.0 million.</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3, 2026, we further amended the New Credit Agreement. The amendment, among other things, increased the commitments under the Revolving Credit Facility by $45.0 million, for an aggregate principal amount of $305.0 million. The amendment also increased the interest spread applicable to loans under the Revolving Credit Facility by 0.25%. In addition, the amendment removed the minimum free cash flow maintenance covenant and adjusted the minimum liquidity maintenance covenant to required $381.3 million of minimum liquidity, tested as of the last day of each calendar month (commencing with the calendar month ending April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matures on August 8, 2028. Prior to giving effect to the April 3, 2026 amendments,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 After giving effect to such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is guaranteed by certain of our wholly-owned domestic subsidiaries and secured by substantially all of our assets and the assets of certain of our subsidiaries, in each case, subject to customary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Revolving Credit Facility requires us to comply with the following financial covenants (subject to certain equity cure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minimum liquidity of $381.3 million, tested as of the last day of each calendar month (commencing with the calendar month ending April 30,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our election, and upon our achieving positive consolidated EBITDA (as calculated under the New Credit Agreement) (a “Leverage Covenant Triggering Event”), the minimum liquidity covenant will no longer be applicable, and our sole financial covenant following a Leverage Covenant Triggering Event will be maintenance of maximum first lien net leverage ratio not to exceed 4.00:1.00, tested as of the last day of each fiscal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Borrowings under the Revolving Credit Facility may vary significantly from time to time depending on our cash needs at any given time. As of June 30, 2026, the Revolving Credit Facility was undrawn, and it continues to remain undrawn as of the date of this report.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our IPO, we sourced a significant portion of our liquidity through preferred stock issuances. We have had multiple issuances that have raised $925.2 million, net of issuance costs, since inception.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0.6 million outstanding warrants exercisable for shares of Series J Preferred Stock. We have reserved 0.6 million shares of common stock for issuance upon the exercise of the Series J Preferred Stock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2025, our Board of Directors declared a dividend (the “Preferred Stock Dividend”) payable in shares of our common stock in respect of all accrued and unpaid dividends on our outstanding shares of Series C, Series D-1, Series D-2, and Series D-3 Preferred Stock held as of July 11, 2025. We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our Board of Directors declared a dividend (the “IPO Closing Preferred Stock Dividend”) payable in cash in respect of all unpaid dividends on our outstanding shares of Series C, Series D-1, Series D-2, and Series D-3 Preferred Stock that had accrued following July 11, 2025 through the conversion of such Preferred Stock into shares of common stock on August 8, 2025 in connection with the completion of the IPO. On August 28, 2025, we paid the IPO Closing Preferred Stock Dividend in an aggregate amount of $5.0 million in cash.</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tbl>
      <w:tblPr>
        <w:tblW w:w="10116" w:type="dxa"/>
        <w:jc w:val="left"/>
        <w:tblInd w:w="0" w:type="dxa"/>
        <w:tblLayout w:type="fixed"/>
        <w:tblCellMar>
          <w:top w:w="28" w:type="dxa"/>
          <w:left w:w="28" w:type="dxa"/>
          <w:bottom w:w="28" w:type="dxa"/>
          <w:right w:w="28" w:type="dxa"/>
        </w:tblCellMar>
      </w:tblPr>
      <w:tblGrid>
        <w:gridCol w:w="4216"/>
        <w:gridCol w:w="146"/>
        <w:gridCol w:w="272"/>
        <w:gridCol w:w="1087"/>
        <w:gridCol w:w="214"/>
        <w:gridCol w:w="188"/>
        <w:gridCol w:w="272"/>
        <w:gridCol w:w="1009"/>
        <w:gridCol w:w="166"/>
        <w:gridCol w:w="146"/>
        <w:gridCol w:w="211"/>
        <w:gridCol w:w="841"/>
        <w:gridCol w:w="166"/>
        <w:gridCol w:w="146"/>
        <w:gridCol w:w="103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operating activities increased by $59.5 million, or 70%, to $144.1 million for the six months ended June 30, 2026 compared to $84.6 million for the six months ended June 30, 2025. Net loss, exclusive of non-cash items, increased by $22.0 million in the current period. This was primarily due to increases in labor and contractor costs, purchases of materials used in the manufacturing and development of our products, and general corporate expenses. In addition, net working capital increased by $37.5 million, which was primarily driven by the timing and recognition of prepaid launch services. These increases in operating outflows were partially offset by an increase in cash receipts from customers due to the inclusion of SciTec’s contributions in our operating cash flows, and the completion of milestones for progress achieved across our product lines. Depending on the stages of completion of our various projects, our working capital balances will fluctuate throughout the year due to the timing of cash payments and cash receipts.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investing activities increased by $107.9 million, or 912%, to $119.8 million during the six months ended June 30, 2026 compared to $11.8 million during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2026, net cash used by investing activities was primarily comprised of $75.0 million in net investing outflows related to the purchase of, and proceeds from, short-term investments as part of our treasury management strategy. In addition, during the six months ended June 30, 2026, we paid $41.1 million for investments in our property and equipment infrastructure and internal-use software.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2025, net cash used by investing activities consisted of $11.8 million in purchases of property and equipment.</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by financing activities increased by $249.7 million, or 138%, to an outflow of $69.3 million for the six months ended June 30, 2026 compared to an inflow of $180.4 million for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the six months ended June 30, 2026, net cash used in financing activities primarily consisted of $260.0 million to repay the aggregate principal amount then drawn under the Revolving Credit Facility, offset by $182.6 million in net proceeds from our underwritten primary offering of common stock, which does not include $1.1 million of related deferred offering costs that remained unpaid as of June 30, 2026.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primarily consisted of $184.1 million of proceeds from the issuance of convertible preferred stock.</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Lease Commitments</w:t>
      </w:r>
    </w:p>
    <w:p>
      <w:pPr>
        <w:pStyle w:val="TextBody"/>
        <w:bidi w:val="0"/>
        <w:jc w:val="both"/>
        <w:rPr>
          <w:rFonts w:ascii="Times New Roman" w:hAnsi="Times New Roman"/>
          <w:color w:val="000000"/>
          <w:sz w:val="20"/>
        </w:rPr>
      </w:pPr>
      <w:r>
        <w:rPr>
          <w:rFonts w:ascii="Times New Roman" w:hAnsi="Times New Roman"/>
          <w:color w:val="000000"/>
          <w:sz w:val="20"/>
        </w:rPr>
        <w:t>We lease buildings, launch sites, office facilities, machineries, and computer equipment. These leases are classified as operating or financing leases with various expiration dates through 2042. Our total remaining lease obligations as of June 30, 2026 are $26.4 million, with $4.1 million due in less than one year. See Note 10 to our unaudited condensed consolidated financial statements included elsewhere in this Quarterly Report on Form 10-Q for more information regarding our lease commitments.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not engage in any off-balance sheet activities or have any arrangements or relationships with unconsolidated entities, such as variable interest, special purpose, and structured finance entities.</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unaudited condensed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unaudited condensed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rFonts w:ascii="Times New Roman" w:hAnsi="Times New Roman"/>
          <w:color w:val="000000"/>
          <w:sz w:val="20"/>
        </w:rPr>
      </w:pPr>
      <w:r>
        <w:rPr>
          <w:rFonts w:ascii="Times New Roman" w:hAnsi="Times New Roman"/>
          <w:color w:val="000000"/>
          <w:sz w:val="20"/>
        </w:rPr>
        <w:t>We enter into contracts with our customers to provide launch and spacecraft integration services, engineering services, software development and design, and licenses to intellectual property. Certain of our contracts are structured as firm-fixed-price or cost-plus-award-fee contracts, and some of these contain variable consideration which requires management to estimate the amount of consideration we will ultimately be entitled to receive. Estimates of variable consideration are based on the likelihood of completing a performance obligation or meeting certain award criteria.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revenue over time for performance obligations within these contracts based on total expected revenue, less constrained variable consideration.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the completion of the performance obligation. Estimating the total costs for the completion of a performance obligation requires management to make estimates related to items such as subcontractor performance, material costs and availability, labor costs and productivity, and the costs of overhead. For certain contracts,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estimates of total costs to be incurred and variable consideration to be earned are highly subjective and dependent on its past experience and operations. Given our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 for business combinations using the acquisition method of accounting whereby the identifiable assets and liabilities of the acquired business, are recorded at their estimated fair value as the date that we obtain control of the acquired business. The fair value of the consideration paid is assigned to the underlying net assets of the acquired business based on their respective fair values. Any excess of the purchase price over the estimated fair values of the net assets acquired is recorded to goodwill. Acquisition-related expenses are expensed as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Several valuation methods may be used to determine the fair value of the assets acquired and liabilities assumed. For intangible assets, we typically use a method that is a form of variation of the income approach, whereby a forecast of future cash flows attributable to the asset are discounted to present value using a risk-adjusted discount rate. Some of the more significant estimates and assumptions inherent in the income approach include the amount and timing of projected future cash flows, the discount rate selected to measure the risks inherent in the future cash flows and the assessment of the asset’s expected useful life. Our estimates of fair value are based upon assumptions believed to be reasonable, but which are inherently uncertain. During the measurement period of up to one year from the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acquisition date, based on new information obtained that relates to the facts and circumstances that existed as of the acquisition date, we may record adjustments to the assets acquired and liabilities assumed with corresponding offset to goodwill. We record adjustments identified, if any, subsequent to the end of the measurement period in our consolidated statements of net loss and comprehensive loss.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both"/>
        <w:rPr>
          <w:rFonts w:ascii="Times New Roman" w:hAnsi="Times New Roman"/>
          <w:color w:val="000000"/>
          <w:sz w:val="20"/>
        </w:rPr>
      </w:pPr>
      <w:r>
        <w:rPr>
          <w:rFonts w:ascii="Times New Roman" w:hAnsi="Times New Roman"/>
          <w:color w:val="000000"/>
          <w:sz w:val="20"/>
        </w:rPr>
        <w:t>Our warrants are liability-classified on the consolidated balance sheets and, therefore, are recorded at fair value at each reporting period. Following the IPO, we determined the fair value of the warrant liability based on a Black-Scholes option-pricing valuation model and classifies the warrants as Level 2. The most significant estimate in the Black-Scholes model is the derived volatility due to the short trading history of our shares. Prior to our IPO, the Level 3 significant unobservable inputs used in the fair value measurement of our warrant liability were volatility, term, discount for lack of marketability and probability weighting based on different scenarios including change of control, IPO, and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our IPO, all outstanding Common Warrants were automatically exercised into 1.0 million shares of common stock. In addition, 0.6 million shares of common stock are reserved for issuance upon exercise of the outstanding Series J Warrants.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business combinations. We test goodwill for impairment at least annually during the fourth fiscal quarter, or more frequently if indicators of impairment exist during the fiscal year.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testing goodwill for impairment, we first perform a qualitative assessment. If we determine it is more likely than not that a reporting unit’s fair value is less than its carrying amount, then a one-step impairment test is required. If we determine it is not more likely than not a reporting unit’s fair value is less than its carrying amount, then no further analysis is necessary. To identify whether a potential impairment exists, we compare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We performed our most recent qualitative analysis as of October 1, 2025, where we determined the fair value of our reporting unit with goodwill substantially exceeded its carrying value.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both"/>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material impairment losses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jc w:val="both"/>
        <w:rPr>
          <w:rFonts w:ascii="Times New Roman" w:hAnsi="Times New Roman"/>
          <w:color w:val="000000"/>
          <w:sz w:val="20"/>
        </w:rPr>
      </w:pPr>
      <w:r>
        <w:rPr>
          <w:rFonts w:ascii="Times New Roman" w:hAnsi="Times New Roman"/>
          <w:color w:val="000000"/>
          <w:sz w:val="20"/>
        </w:rPr>
        <w:t>Recently issued and newly adopted accounting standards are described in Note 2 to our unaudited condensed consolidated financial statements included elsewhere in this Quarterly Report on Form 10-Q.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Emerging Growth Company Accounting Election</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Section 102(b)(1) of </w:t>
      </w:r>
      <w:r>
        <w:rPr>
          <w:rFonts w:ascii="Times New Roman" w:hAnsi="Times New Roman"/>
          <w:color w:val="010302"/>
          <w:sz w:val="20"/>
        </w:rPr>
        <w:t xml:space="preserve">the Jumpstart Our Business Startups Act of 2012, as amended (the </w:t>
      </w:r>
      <w:r>
        <w:rPr>
          <w:rFonts w:ascii="Times New Roman" w:hAnsi="Times New Roman"/>
          <w:color w:val="000000"/>
          <w:sz w:val="20"/>
        </w:rPr>
        <w:t>“</w:t>
      </w:r>
      <w:r>
        <w:rPr>
          <w:rFonts w:ascii="Times New Roman" w:hAnsi="Times New Roman"/>
          <w:color w:val="010302"/>
          <w:sz w:val="20"/>
        </w:rPr>
        <w:t>JOBS Act</w:t>
      </w:r>
      <w:r>
        <w:rPr>
          <w:rFonts w:ascii="Times New Roman" w:hAnsi="Times New Roman"/>
          <w:color w:val="000000"/>
          <w:sz w:val="20"/>
        </w:rPr>
        <w:t>”</w:t>
      </w:r>
      <w:r>
        <w:rPr>
          <w:rFonts w:ascii="Times New Roman" w:hAnsi="Times New Roman"/>
          <w:color w:val="010302"/>
          <w:sz w:val="20"/>
        </w:rPr>
        <w:t>)</w:t>
      </w:r>
      <w:r>
        <w:rPr>
          <w:rFonts w:ascii="Times New Roman" w:hAnsi="Times New Roman"/>
          <w:color w:val="000000"/>
          <w:sz w:val="20"/>
        </w:rPr>
        <w:t xml:space="preserve">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w:t>
      </w:r>
      <w:r>
        <w:rPr>
          <w:rFonts w:ascii="Times New Roman" w:hAnsi="Times New Roman"/>
          <w:color w:val="FF0000"/>
          <w:sz w:val="20"/>
        </w:rPr>
        <w:t xml:space="preserve"> </w:t>
      </w:r>
      <w:r>
        <w:rPr>
          <w:rFonts w:ascii="Times New Roman" w:hAnsi="Times New Roman"/>
          <w:color w:val="000000"/>
          <w:sz w:val="20"/>
        </w:rPr>
        <w:t xml:space="preserve">elected to take advantage of the benefits of this extended transition period, which means that when a standard is issued or revised and has different application dates for public or private companies, we, as an emerging growth company, may adopt the new or revised standard at the time private companies are required to adopt the new or revised standard. We will remain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an emerging growth company until the earliest of (i) the last day of the</w:t>
      </w:r>
      <w:r>
        <w:rPr>
          <w:rFonts w:ascii="Times New Roman" w:hAnsi="Times New Roman"/>
          <w:color w:val="FF0000"/>
          <w:sz w:val="20"/>
        </w:rPr>
        <w:t xml:space="preserve"> </w:t>
      </w:r>
      <w:r>
        <w:rPr>
          <w:rFonts w:ascii="Times New Roman" w:hAnsi="Times New Roman"/>
          <w:color w:val="000000"/>
          <w:sz w:val="20"/>
        </w:rPr>
        <w:t>fiscal year in which we have total annual gross revenues of $1.235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 and expect to continue to take advantage of the benefits of the extended transition period. This may make it difficult or impossible to compare our</w:t>
      </w:r>
      <w:r>
        <w:rPr>
          <w:rFonts w:ascii="Times New Roman" w:hAnsi="Times New Roman"/>
          <w:color w:val="FF0000"/>
          <w:sz w:val="20"/>
        </w:rPr>
        <w:t xml:space="preserve"> </w:t>
      </w:r>
      <w:r>
        <w:rPr>
          <w:rFonts w:ascii="Times New Roman" w:hAnsi="Times New Roman"/>
          <w:color w:val="000000"/>
          <w:sz w:val="20"/>
        </w:rPr>
        <w:t>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1" w:name="part1_item3"/>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for changes in interest rates applicable to our cash and cash equivalents and debt. 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did not have any fixed-rate debt outstanding as of June 30, 2026, we are exposed to interest rate risk primarily though our Revolving Credit Facility. As of June 30, 2026, there were no borrowings under the Revolving Credit Facility, however, we may draw upon loans under the Revolving Credit Facility in the future. Loans that we may draw under the Revolving Credit Facility currently bear interest at a variable rate per annum equal to, at our option, either (i) term SOFR plus a 3.25% spread or (ii) an alternative base rate (as set forth under the New Credit Agreement) plus a 2.25% spread.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Our maximum exposure to credit risk at the reporting date is primarily from accounts receivable, which amounted to $58.1 million and $46.1 million as of June 30, 2026 and December 31, 2025, respectively.</w:t>
      </w:r>
    </w:p>
    <w:p>
      <w:pPr>
        <w:pStyle w:val="TextBody"/>
        <w:bidi w:val="0"/>
        <w:spacing w:before="0" w:after="200"/>
        <w:jc w:val="both"/>
        <w:rPr/>
      </w:pPr>
      <w:r>
        <w:rPr/>
        <w:t> </w:t>
      </w:r>
    </w:p>
    <w:p>
      <w:pPr>
        <w:pStyle w:val="TextBody"/>
        <w:bidi w:val="0"/>
        <w:jc w:val="both"/>
        <w:rPr>
          <w:rFonts w:ascii="Times New Roman" w:hAnsi="Times New Roman"/>
          <w:b/>
          <w:color w:val="000000"/>
          <w:sz w:val="20"/>
        </w:rPr>
      </w:pPr>
      <w:bookmarkStart w:id="12" w:name="part1_item4"/>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Limitation on Effectiveness of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as of June 30, 2026. Based on the evaluation of our disclosure controls and procedures, our Chief Executive Officer and Chief Financial Officer concluded that our disclosure controls and procedures were effective at the reasonable assurance level as of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15(d)-15(f) of the Exchange Act during the quarter ended June 30, 2026 that have materially affected, or are reasonably likely to materially affect, our internal control over financial reporting.</w:t>
      </w:r>
    </w:p>
    <w:p>
      <w:pPr>
        <w:pStyle w:val="TextBody"/>
        <w:bidi w:val="0"/>
        <w:spacing w:before="0" w:after="160"/>
        <w:jc w:val="left"/>
        <w:rPr>
          <w:rFonts w:ascii="Times New Roman" w:hAnsi="Times New Roman"/>
          <w:b/>
          <w:color w:val="000000"/>
          <w:sz w:val="20"/>
        </w:rPr>
      </w:pPr>
      <w:bookmarkStart w:id="13" w:name="partii_otherinformation"/>
      <w:bookmarkEnd w:id="13"/>
      <w:r>
        <w:rPr>
          <w:rFonts w:ascii="Times New Roman" w:hAnsi="Times New Roman"/>
          <w:b/>
          <w:color w:val="000000"/>
          <w:sz w:val="20"/>
        </w:rPr>
        <w:t>Part II. Other Information</w:t>
      </w:r>
    </w:p>
    <w:p>
      <w:pPr>
        <w:pStyle w:val="TextBody"/>
        <w:bidi w:val="0"/>
        <w:spacing w:before="40" w:after="200"/>
        <w:jc w:val="left"/>
        <w:rPr>
          <w:rFonts w:ascii="Times New Roman" w:hAnsi="Times New Roman"/>
          <w:sz w:val="20"/>
        </w:rPr>
      </w:pPr>
      <w:bookmarkStart w:id="14" w:name="partii_item1"/>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This information set forth under “Note 12 – Commitments and Contingencies – Legal Proceedings” to the unaudited condensed consolidated financial statements in this Quarterly Report on Form 10-Q is incorporated herein by reference.</w:t>
      </w:r>
    </w:p>
    <w:p>
      <w:pPr>
        <w:pStyle w:val="TextBody"/>
        <w:bidi w:val="0"/>
        <w:spacing w:before="200" w:after="200"/>
        <w:jc w:val="left"/>
        <w:rPr>
          <w:rFonts w:ascii="Times New Roman" w:hAnsi="Times New Roman"/>
          <w:b/>
          <w:color w:val="000000"/>
          <w:sz w:val="20"/>
        </w:rPr>
      </w:pPr>
      <w:bookmarkStart w:id="15" w:name="partii_item1a"/>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and other cautionary statements described under the heading “Part I—Item 1A—Risk Factors” of our most recent Annual Report on Form 10-K, with such factors incorporated herein by reference. There have been no material changes in our risk factors from those included in our Form 10-K.</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bookmarkStart w:id="16" w:name="partii_item2"/>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June 23, 2026, we issued 515,767 shares of our common stock as partial consideration in connection with the completion of our acquisition of Space-ng. These shares were issued in a private placement pursuant to an exemption under Section 4(a)(2) of the Securities Act and Rule 506(b) under Regulation D.</w:t>
      </w:r>
    </w:p>
    <w:p>
      <w:pPr>
        <w:pStyle w:val="TextBody"/>
        <w:bidi w:val="0"/>
        <w:jc w:val="both"/>
        <w:rPr>
          <w:rFonts w:ascii="Times New Roman" w:hAnsi="Times New Roman"/>
          <w:sz w:val="20"/>
        </w:rPr>
      </w:pPr>
      <w:bookmarkStart w:id="17" w:name="partii_item3"/>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both"/>
        <w:rPr>
          <w:rFonts w:ascii="Times New Roman" w:hAnsi="Times New Roman"/>
          <w:sz w:val="20"/>
        </w:rPr>
      </w:pPr>
      <w:bookmarkStart w:id="18" w:name="partii_item4"/>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9" w:name="partii_item5"/>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5, 2026, Jason Kim, our Chief Executive Officer and member of our Board of Directors, adopted a Rule 10b5-1 trading arrangement providing for the sale from time to time of an aggregate of up to 287,220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May 28,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5, 2026, Darren Ma, our Chief Financial Officer and member of our Board of Directors, adopted a Rule 10b5-1 trading arrangement providing for the sale from time to time of an aggregate of up to 143,610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May 28,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May 29, 2026, Shea Ferring, our Chief Technology Officer, adopted a Rule 10b5-1 trading arrangement providing for the sale from time to time of an aggregate of up to 125,000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March 31,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29, 2026, Remington Wu, our Chief Accounting Officer, adopted a Rule 10b5-1 trading arrangement providing for the sale from time to time of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June 30, 2027, or earlier if all transactions under the trading arrangement are completed.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29, 2026, Ryan Boland, a member of our Board of Directors, adopted a Rule 10b5-1 trading arrangement providing for the sale from time to time of an aggregate of up to 45,000 shares of common stock at or above specified market prices. The trading arrangement expires on June 25, 2027, or earlier if all transactions under the trading arrangement are completed.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Each of these trading arrangements were entered into pursuant to the Company’s insider trading policy and is intended to satisfy the affirmative defense in Rule 10b5-1(c). Other than as disclosed above, no other directors or officers, as defined in Section 16 of the Exchange Act, adopted, modified or terminated a “Rule 10b5-1 trading arrangement” or a “non-Rule 10b5-1 trading arrangement” as defined in Regulation S-K Item 408, during the fiscal quarter ended June 30, 2026.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0" w:name="partii_item6"/>
      <w:bookmarkEnd w:id="20"/>
      <w:r>
        <w:rPr>
          <w:rFonts w:ascii="Times New Roman" w:hAnsi="Times New Roman"/>
          <w:b/>
          <w:color w:val="000000"/>
          <w:sz w:val="20"/>
        </w:rPr>
        <w:t>Item 6. Exhibits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23"/>
        <w:gridCol w:w="146"/>
        <w:gridCol w:w="9236"/>
      </w:tblGrid>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6" w:type="dxa"/>
            <w:tcBorders/>
            <w:vAlign w:val="center"/>
          </w:tcPr>
          <w:p>
            <w:pPr>
              <w:pStyle w:val="TableContents"/>
              <w:bidi w:val="0"/>
              <w:spacing w:before="0" w:after="283"/>
              <w:jc w:val="left"/>
              <w:rPr>
                <w:sz w:val="4"/>
                <w:szCs w:val="4"/>
              </w:rPr>
            </w:pPr>
            <w:r>
              <w:rPr>
                <w:sz w:val="4"/>
                <w:szCs w:val="4"/>
              </w:rPr>
            </w:r>
          </w:p>
        </w:tc>
      </w:tr>
      <w:tr>
        <w:trPr/>
        <w:tc>
          <w:tcPr>
            <w:tcW w:w="82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Amendment to Credit Agreement, dated as of April 3, 2026, among Firefly Aerospace Inc., the other loan parties thereto, the lenders and issuing banks party thereto, and Wells Fargo Bank, National Association, as administrative agent (incorporated by reference to Exhibit 10.2 to the Company</w:t>
              </w:r>
            </w:hyperlink>
            <w:r>
              <w:rPr>
                <w:rFonts w:ascii="Times New Roman" w:hAnsi="Times New Roman"/>
                <w:color w:val="000000"/>
                <w:sz w:val="20"/>
              </w:rPr>
              <w:t>’</w:t>
            </w:r>
            <w:hyperlink r:id="rId4">
              <w:r>
                <w:rPr>
                  <w:rStyle w:val="InternetLink"/>
                  <w:rFonts w:ascii="Times New Roman" w:hAnsi="Times New Roman"/>
                  <w:color w:val="0000FF"/>
                  <w:sz w:val="20"/>
                  <w:u w:val="single"/>
                </w:rPr>
                <w:t>s Quarterly Report on Form 10-Q filed with the SEC on May 4, 2026)</w:t>
              </w:r>
            </w:hyperlink>
            <w:r>
              <w:rPr>
                <w:rFonts w:ascii="Times New Roman" w:hAnsi="Times New Roman"/>
                <w:color w:val="000000"/>
                <w:sz w:val="20"/>
              </w:rPr>
              <w:t>.</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Firefly Aerospace Inc. Amended Executive Severance Plan (incorporated by reference to Exhibit 10.4 to the Company</w:t>
              </w:r>
            </w:hyperlink>
            <w:r>
              <w:rPr>
                <w:rFonts w:ascii="Times New Roman" w:hAnsi="Times New Roman"/>
                <w:color w:val="000000"/>
                <w:sz w:val="20"/>
              </w:rPr>
              <w:t>’</w:t>
            </w:r>
            <w:hyperlink r:id="rId6">
              <w:r>
                <w:rPr>
                  <w:rStyle w:val="InternetLink"/>
                  <w:rFonts w:ascii="Times New Roman" w:hAnsi="Times New Roman"/>
                  <w:color w:val="0000FF"/>
                  <w:sz w:val="20"/>
                  <w:u w:val="single"/>
                </w:rPr>
                <w:t>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Employment Letter and Participation Agreement, dated as of April 16, 2026, by and between Firefly Aerospace Inc. and Jason Kim (incorporated by reference to Exhibit 10.1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Employment Letter and Participation Agreement, dated as of April 16, 2026, by and between Firefly Aerospace Inc. and Darren Ma (incorporated by reference to Exhibit 10.2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Employment Letter and Participation Agreement, dated as of April 16, 2026, by and between Firefly Aerospace Inc. and Ramon Sanchez (incorporated by reference to Exhibit 10.3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10_6">
              <w:r>
                <w:rPr>
                  <w:rStyle w:val="InternetLink"/>
                  <w:rFonts w:ascii="Times New Roman" w:hAnsi="Times New Roman"/>
                  <w:color w:val="0000FF"/>
                  <w:sz w:val="20"/>
                  <w:u w:val="single"/>
                </w:rPr>
                <w:t>Outside Director Compensation Policy.</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31_1">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31_2">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32_1">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32_2">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
        <w:gridCol w:w="146"/>
        <w:gridCol w:w="9798"/>
      </w:tblGrid>
      <w:tr>
        <w:trPr/>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8" w:type="dxa"/>
            <w:tcBorders/>
            <w:vAlign w:val="center"/>
          </w:tcPr>
          <w:p>
            <w:pPr>
              <w:pStyle w:val="TableContents"/>
              <w:bidi w:val="0"/>
              <w:spacing w:before="0" w:after="283"/>
              <w:jc w:val="left"/>
              <w:rPr>
                <w:sz w:val="4"/>
                <w:szCs w:val="4"/>
              </w:rPr>
            </w:pPr>
            <w:r>
              <w:rPr>
                <w:sz w:val="4"/>
                <w:szCs w:val="4"/>
              </w:rPr>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Filed herewith.</w:t>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Exhibit is furnished and shall not be deemed “filed” for purposes of Section 18 of the Exchange Act, or otherwise subject to the liabilities of that section, nor shall it be deemed incorporated by reference in any filing under Securities Act, or the Exchange Act, except as shall be expressly set forth by specific reference in such filing.</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0" w:after="200"/>
        <w:jc w:val="right"/>
        <w:rPr>
          <w:rFonts w:ascii="Times New Roman" w:hAnsi="Times New Roman"/>
          <w:color w:val="000000"/>
          <w:sz w:val="20"/>
        </w:rPr>
      </w:pPr>
      <w:bookmarkStart w:id="22" w:name="exhibit_10_6"/>
      <w:bookmarkEnd w:id="22"/>
      <w:r>
        <w:rPr>
          <w:rFonts w:ascii="Times New Roman" w:hAnsi="Times New Roman"/>
          <w:color w:val="000000"/>
          <w:sz w:val="20"/>
        </w:rPr>
        <w:t>Exhibit 10.6</w:t>
      </w:r>
    </w:p>
    <w:p>
      <w:pPr>
        <w:pStyle w:val="Heading2"/>
        <w:bidi w:val="0"/>
        <w:jc w:val="center"/>
        <w:rPr>
          <w:rFonts w:ascii="Times New Roman" w:hAnsi="Times New Roman"/>
          <w:color w:val="000000"/>
          <w:sz w:val="20"/>
        </w:rPr>
      </w:pPr>
      <w:r>
        <w:rPr>
          <w:rFonts w:ascii="Times New Roman" w:hAnsi="Times New Roman"/>
          <w:color w:val="000000"/>
          <w:sz w:val="20"/>
        </w:rPr>
        <w:t>FIREFLY AEROSPACE INC.</w:t>
      </w:r>
    </w:p>
    <w:p>
      <w:pPr>
        <w:pStyle w:val="Heading2"/>
        <w:bidi w:val="0"/>
        <w:jc w:val="center"/>
        <w:rPr>
          <w:rFonts w:ascii="Times New Roman" w:hAnsi="Times New Roman"/>
          <w:color w:val="000000"/>
          <w:sz w:val="20"/>
        </w:rPr>
      </w:pPr>
      <w:r>
        <w:rPr>
          <w:rFonts w:ascii="Times New Roman" w:hAnsi="Times New Roman"/>
          <w:color w:val="000000"/>
          <w:sz w:val="20"/>
        </w:rPr>
        <w:t xml:space="preserve">OUTSIDE DIRECTOR COMPENSATION POLICY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POLICY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purpose of this Outside Director Compensation Policy (the “Policy”) of Firefly Aerospace Inc., a Delaware corporation (the “Company”), is to provide a total compensation package that enables the Company to attract and retain, on a long-term basis, high-caliber directors who are not employees or officers of the Company or its subsidiaries (“Outside Directors”). In furtherance of the purpose stated above, effective as of September 24, 2025 (as applicable, the “Effective Date”), all Outside Directors shall be paid compensation for services provided to the Company as set forth below: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Retainers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Annual Retainer for Board Membership</w:t>
      </w:r>
      <w:r>
        <w:rPr>
          <w:rFonts w:ascii="Times New Roman" w:hAnsi="Times New Roman"/>
          <w:color w:val="000000"/>
          <w:sz w:val="20"/>
        </w:rPr>
        <w:t>: $100,000 for general availability and participation in meetings and conference calls of our Board of Directors (the “Board”), to be paid in advance in four equal quarterly installments, to be paid promptly after the beginning of each calendar quarter. No additional compensation for attending individual Board meetings.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Additional Annual Retainers for Non-Executive Board Chair, Committee Chair, and Committee Membership</w:t>
      </w:r>
      <w:r>
        <w:rPr>
          <w:rFonts w:ascii="Times New Roman" w:hAnsi="Times New Roman"/>
          <w:color w:val="000000"/>
          <w:sz w:val="20"/>
        </w:rPr>
        <w:t>: The additional retainers shall be paid in full and in advance following their respective appointments after each Annual Meeting of Stockholders (the “Annual Meeting”).</w:t>
      </w:r>
    </w:p>
    <w:tbl>
      <w:tblPr>
        <w:tblW w:w="6122" w:type="dxa"/>
        <w:jc w:val="left"/>
        <w:tblInd w:w="0" w:type="dxa"/>
        <w:tblLayout w:type="fixed"/>
        <w:tblCellMar>
          <w:top w:w="28" w:type="dxa"/>
          <w:left w:w="28" w:type="dxa"/>
          <w:bottom w:w="28" w:type="dxa"/>
          <w:right w:w="28" w:type="dxa"/>
        </w:tblCellMar>
      </w:tblPr>
      <w:tblGrid>
        <w:gridCol w:w="5296"/>
        <w:gridCol w:w="826"/>
      </w:tblGrid>
      <w:tr>
        <w:trPr/>
        <w:tc>
          <w:tcPr>
            <w:tcW w:w="52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Non-Executive Chair of the Board</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$50,000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Audit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$20,000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Audit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Compensation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$15,000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Compensation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$7,500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$15,000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Nominating and Corporate Governance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$5,000</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clarity, each Outside Director who serves as the chair of a committee will receive only the additional annual fee as the chair of that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Retainers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Outside Directors will be eligible to receive all types of equity awards (except incentive stock options) under the Company’s 2025 Omnibus Incentive Plan (the “2025 Plan”) (or the applicable equity plan in place at the time of grant), including discretionary equity awards not covered under this Policy. All grants of equity retainer awards to Outside Directors pursuant to this Policy will be automatic and nondiscretionary and will be made in accordance with the following provisions: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Initial Grant</w:t>
      </w:r>
      <w:r>
        <w:rPr>
          <w:rFonts w:ascii="Times New Roman" w:hAnsi="Times New Roman"/>
          <w:color w:val="000000"/>
          <w:sz w:val="20"/>
        </w:rPr>
        <w:t>. Upon initial election to the Board, each new Outside Director will receive an initial, one-time grant of restricted stock units (the “Initial Grant”) with a Value of $150,000, that vests in full on the one-year anniversary of the date of grant; provided, however, that all vesting ceases if the Outside Director resigns from our Board or otherwise ceases to serve as a director, unless the Board determines that the circumstances warrant continuation or acceleration of vesting. The Initial Award will be made on the first Trading Day on or after the date on which such individual first becomes an Outside Director, whether through election by the stockholders of the Company or appointment by the Board to fill a vacancy (such grant date, the “Initial Award Grant Date”). If an individual that was a member of the Board and also an employee, becomes an Outside Director due to termination of employment that will not entitle the Outside Director to an Initial Award. This Initial Grant applies to Outside Directors who are first elected to the Board effective as of or subsequent to the Effective Date.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Annual Grant</w:t>
      </w:r>
      <w:r>
        <w:rPr>
          <w:rFonts w:ascii="Times New Roman" w:hAnsi="Times New Roman"/>
          <w:color w:val="000000"/>
          <w:sz w:val="20"/>
        </w:rPr>
        <w:t xml:space="preserve">. On the date of the Annual Meeting, each Outside Director who will continue as a member of the Board following such Annual Meeting will receive a grant of restricted stock units on the date of such Annual Meeting (the “Annual Grant”) with a Value of $150,000, that vests in full on the one-year anniversary of the date of grant; provided, however, that all vesting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ceases if the Outside Director resigns from our Board or otherwise ceases to serve as a director, unless the Board determines that the circumstances warrant continuation or acceleration of vesting. If a new Outside Director joins our Board on a date other than the date of the Annual Meeting, then such Outside Director will be granted a pro-rata portion of the Annual Grant at the next Annual Meeting based the product of (A) $150,000, and (B) a fraction, with a numerator equal to the number of calendar days between (and including) the date the individual first becomes an Outside Director and the date of the next Annual Meeting, and a denominator equal to the number of calendar days between (and including) the date of the prior Annual Meeting and the date of the next Annual Meeting.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purposes of this Policy, “Value” means with respect to any award of restricted stock and restricted stock units the product of (A) the volume-weighted average closing market price on NASDAQ (or such other market on which the Company’s Common Stock is then principally listed) of the Company’s Common Stock over the trailing 20-trading day period ending on the last day immediately prior to the grant date and (B) the aggregate number of shares pursuant to such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Immediately prior to a Change in Control, each Outside Director will fully vest in any outstanding Company equity awards that were granted for service as an Outside Director, provided that the Outside Director continues to be an Outside Director through the date of the Change in Control.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will reimburse all reasonable out-of-pocket expenses incurred by Outside Directors in attending meetings of the Board or any committee thereof.</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MAXIMUM ANNUAL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aggregate amount of compensation, including both equity compensation and cash compensation, paid to any Outside Director in a calendar year period shall not exceed: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$1,500,000 in the first calendar year an individual becomes an Outside Director;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$750,000 in any other year, or, solely in the case of a lead director or non-executive chair of the Board, $1,000,000.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in each case, such other limits as may be set forth in Section 4.4 of the 2025 Plan or any similar provision of a successor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this purpose, the “amount” of equity compensation paid in a calendar year shall be determined based on the grant date fair value thereof, as determined in accordance with ASC Topic 718 or its successor provision, but excluding the impact of estimated forfeitures related to service-based vesting conditions. Any cash compensation paid or equity compensation award granted to an individual for his or her services as an employee, or for his or her services as a consultant (other than as an Outside Director), will not count for purposes of the limitation.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ADDITIONAL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provisions of the 2025 Plan not inconsistent with this Policy will apply to awards granted to Outside Directors.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SECTION 409A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2025 Plan with respect to awards granted under the 2025 Plan pursuant to this Policy prior to the date of such termination.</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2"/>
        </w:rPr>
      </w:pPr>
      <w:bookmarkStart w:id="23" w:name="exhibit_31_1"/>
      <w:bookmarkEnd w:id="23"/>
      <w:r>
        <w:rPr>
          <w:rFonts w:ascii="Times New Roman" w:hAnsi="Times New Roman"/>
          <w:b/>
          <w:color w:val="000000"/>
          <w:sz w:val="22"/>
        </w:rPr>
        <w:t>Exhibit 31.1</w:t>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Jason Kim,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24" w:type="dxa"/>
        <w:jc w:val="left"/>
        <w:tblInd w:w="0" w:type="dxa"/>
        <w:tblLayout w:type="fixed"/>
        <w:tblCellMar>
          <w:top w:w="28" w:type="dxa"/>
          <w:left w:w="28" w:type="dxa"/>
          <w:bottom w:w="28" w:type="dxa"/>
          <w:right w:w="28" w:type="dxa"/>
        </w:tblCellMar>
      </w:tblPr>
      <w:tblGrid>
        <w:gridCol w:w="1951"/>
        <w:gridCol w:w="146"/>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0"/>
        </w:rPr>
      </w:pPr>
      <w:bookmarkStart w:id="24" w:name="exhibit_31_2"/>
      <w:bookmarkEnd w:id="24"/>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Darren Ma,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0"/>
        </w:rPr>
      </w:pPr>
      <w:bookmarkStart w:id="25" w:name="exhibit_32_1"/>
      <w:bookmarkEnd w:id="25"/>
      <w:r>
        <w:rPr>
          <w:rFonts w:ascii="Times New Roman" w:hAnsi="Times New Roman"/>
          <w:b/>
          <w:color w:val="000000"/>
          <w:sz w:val="20"/>
        </w:rPr>
        <w:t>Exhibit 32.1</w:t>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June 30, 2026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24" w:type="dxa"/>
        <w:jc w:val="left"/>
        <w:tblInd w:w="0" w:type="dxa"/>
        <w:tblLayout w:type="fixed"/>
        <w:tblCellMar>
          <w:top w:w="28" w:type="dxa"/>
          <w:left w:w="28" w:type="dxa"/>
          <w:bottom w:w="28" w:type="dxa"/>
          <w:right w:w="28" w:type="dxa"/>
        </w:tblCellMar>
      </w:tblPr>
      <w:tblGrid>
        <w:gridCol w:w="1951"/>
        <w:gridCol w:w="146"/>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0"/>
        </w:rPr>
      </w:pPr>
      <w:bookmarkStart w:id="26" w:name="exhibit_32_2"/>
      <w:bookmarkEnd w:id="26"/>
      <w:r>
        <w:rPr>
          <w:rFonts w:ascii="Times New Roman" w:hAnsi="Times New Roman"/>
          <w:b/>
          <w:color w:val="000000"/>
          <w:sz w:val="20"/>
        </w:rPr>
        <w:t>Exhibit 32.2</w:t>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June 30, 2026 as filed with the Securities and Exchange Commission on the date hereof (the “Report”), I, Darren Ma, as Chief Financial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0" w:after="24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60160/000186016026000009/fly-ex10_2.htm" TargetMode="External"/><Relationship Id="rId4" Type="http://schemas.openxmlformats.org/officeDocument/2006/relationships/hyperlink" Target="https://www.sec.gov/Archives/edgar/data/1860160/000186016026000009/fly-ex10_2.htm" TargetMode="External"/><Relationship Id="rId5" Type="http://schemas.openxmlformats.org/officeDocument/2006/relationships/hyperlink" Target="https://www.sec.gov/Archives/edgar/data/1860160/000119312526166820/fly-ex10_4.htm" TargetMode="External"/><Relationship Id="rId6" Type="http://schemas.openxmlformats.org/officeDocument/2006/relationships/hyperlink" Target="https://www.sec.gov/Archives/edgar/data/1860160/000119312526166820/fly-ex10_4.htm" TargetMode="External"/><Relationship Id="rId7" Type="http://schemas.openxmlformats.org/officeDocument/2006/relationships/hyperlink" Target="https://www.sec.gov/Archives/edgar/data/1860160/000119312526166820/fly-ex10_1.htm" TargetMode="External"/><Relationship Id="rId8" Type="http://schemas.openxmlformats.org/officeDocument/2006/relationships/hyperlink" Target="https://www.sec.gov/Archives/edgar/data/1860160/000119312526166820/fly-ex10_2.htm" TargetMode="External"/><Relationship Id="rId9" Type="http://schemas.openxmlformats.org/officeDocument/2006/relationships/hyperlink" Target="https://www.sec.gov/Archives/edgar/data/1860160/000119312526166820/fly-ex10_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32576</Words>
  <Characters>180537</Characters>
  <CharactersWithSpaces>214150</CharactersWithSpaces>
  <Paragraphs>7653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