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Ambrose Richard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FIREFLY AEROSPACE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2203 SCOTTSDALE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LEANDER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78641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Firefly Aerospace Inc.</w:t>
              </w:r>
            </w:hyperlink>
            <w:r>
              <w:rPr/>
              <w:t xml:space="preserve"> [ </w:t>
            </w:r>
            <w:r>
              <w:rPr>
                <w:rFonts w:ascii="Times;serif" w:hAnsi="Times;serif"/>
                <w:color w:val="0000FF"/>
                <w:sz w:val="24"/>
                <w:shd w:fill="FFFFFF" w:val="clear"/>
              </w:rPr>
              <w:t>FLY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6,716</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6,716</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granted under the Firefly Aerospace Inc. 2025 Omnibus Incentive Plan. The RSUs vest on October 5, 2027, subject to the reporting person's continued service to the Issuer through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Nathan O'Konek,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3608" TargetMode="External"/><Relationship Id="rId5" Type="http://schemas.openxmlformats.org/officeDocument/2006/relationships/hyperlink" Target="http://www.sec.gov/cgi-bin/browse-edgar?action=getcompany&amp;CIK=00018601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600</Words>
  <Characters>3278</Characters>
  <CharactersWithSpaces>3811</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