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424b3_-_director_matters.htm"/>
      <w:bookmarkStart w:id="1" w:name="ks424b3__director_matters"/>
      <w:bookmarkStart w:id="2" w:name="424b3_-_director_matters.htm"/>
      <w:bookmarkStart w:id="3" w:name="ks424b3__director_matters"/>
      <w:bookmarkEnd w:id="2"/>
      <w:bookmarkEnd w:id="3"/>
    </w:p>
    <w:tbl>
      <w:tblPr>
        <w:tblW w:w="5417" w:type="dxa"/>
        <w:jc w:val="left"/>
        <w:tblInd w:w="0" w:type="dxa"/>
        <w:tblLayout w:type="fixed"/>
        <w:tblCellMar>
          <w:top w:w="28" w:type="dxa"/>
          <w:left w:w="28" w:type="dxa"/>
          <w:bottom w:w="28" w:type="dxa"/>
          <w:right w:w="28" w:type="dxa"/>
        </w:tblCellMar>
      </w:tblPr>
      <w:tblGrid>
        <w:gridCol w:w="3001"/>
        <w:gridCol w:w="2416"/>
      </w:tblGrid>
      <w:tr>
        <w:trPr/>
        <w:tc>
          <w:tcPr>
            <w:tcW w:w="300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Prospectus Supplement No.10</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 Prospectus dated December 19, 2025)</w:t>
            </w:r>
          </w:p>
        </w:tc>
        <w:tc>
          <w:tcPr>
            <w:tcW w:w="241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6"/>
              </w:rPr>
            </w:pPr>
            <w:r>
              <w:rPr>
                <w:rFonts w:ascii="Times New Roman" w:hAnsi="Times New Roman"/>
                <w:color w:val="000000"/>
                <w:sz w:val="16"/>
              </w:rPr>
              <w:t>Filed Pursuant to Rule 424(b)(3)</w:t>
            </w:r>
          </w:p>
          <w:p>
            <w:pPr>
              <w:pStyle w:val="TableContents"/>
              <w:bidi w:val="0"/>
              <w:jc w:val="right"/>
              <w:rPr>
                <w:rFonts w:ascii="Times New Roman" w:hAnsi="Times New Roman"/>
                <w:color w:val="000000"/>
                <w:sz w:val="16"/>
              </w:rPr>
            </w:pPr>
            <w:r>
              <w:rPr>
                <w:rFonts w:ascii="Times New Roman" w:hAnsi="Times New Roman"/>
                <w:color w:val="000000"/>
                <w:sz w:val="16"/>
              </w:rPr>
              <w:t>Registration No. 333-291599</w:t>
            </w:r>
          </w:p>
          <w:p>
            <w:pPr>
              <w:pStyle w:val="TableContents"/>
              <w:bidi w:val="0"/>
              <w:jc w:val="right"/>
              <w:rPr/>
            </w:pPr>
            <w:r>
              <w:rPr/>
              <w:t> </w:t>
            </w:r>
          </w:p>
          <w:p>
            <w:pPr>
              <w:pStyle w:val="TableContents"/>
              <w:bidi w:val="0"/>
              <w:jc w:val="right"/>
              <w:rPr/>
            </w:pPr>
            <w:r>
              <w:rPr/>
              <w:t> </w:t>
            </w:r>
          </w:p>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11,111,116 Shares</w:t>
      </w:r>
    </w:p>
    <w:p>
      <w:pPr>
        <w:pStyle w:val="TextBody"/>
        <w:bidi w:val="0"/>
        <w:spacing w:before="0" w:after="240"/>
        <w:jc w:val="center"/>
        <w:rPr/>
      </w:pPr>
      <w:r>
        <w:rPr/>
        <w:drawing>
          <wp:inline distT="0" distB="0" distL="0" distR="0">
            <wp:extent cx="32194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19450" cy="561975"/>
                    </a:xfrm>
                    <a:prstGeom prst="rect">
                      <a:avLst/>
                    </a:prstGeom>
                  </pic:spPr>
                </pic:pic>
              </a:graphicData>
            </a:graphic>
          </wp:inline>
        </w:drawing>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Common Stock</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 xml:space="preserve">This prospectus supplement updates and supplements the prospectus dated December 19, 2025, as supplemented or amended from time to time (the “Prospectus”), which forms a part of our Registration Statement on Form S-1 (Registration No. 333-291599). This prospectus supplement is being filed to update and supplement the information in the Prospectus with the information contained in the Company’s Current Report on Form 8-K, filed with the SEC on October 6, 2026 (the “Form 8-K”). Accordingly, we have attached the Form 8-K to this prospectus supplement.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Prospectus relates to the offer and sale from time to time by the selling securityholders named in the Prospectus (the “Selling Securityholders”) of up to 11,111,116 shares of Common Stock, par value $0.0001 per share (the “Common Stock”) of Firefly Aerospace Inc. (“Firefly Aerospace”) that were received by such Selling Securityholders as consideration in connection with Firefly Aerospace’s acquisition of SciTec Innovations, LLC, a Delaware limited liability company.</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This prospectus supplement should be read in conjunction with the Prospectus. This prospectus supplement updates and supplements the information in the Prospectus. If there is any inconsistency between the information in the Prospectus and this prospectus supplement, you should rely on the information in this prospectus supplement.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Our Common Stock is listed on the Nasdaq Global Market under the symbol “FLY”. On October 5, 2026, the closing price of our Common Stock was $22.59 per share.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Investing in our Common Stock involves risks. See “Risk Factors” beginning on page 9 of the Prospectus, and under similar headings in any further amendments or supplements to the Prospectus.</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date of this prospectus supplement is October 6, 2026.</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color w:val="000000"/>
          <w:sz w:val="36"/>
        </w:rPr>
      </w:pPr>
      <w:r>
        <w:rPr>
          <w:rFonts w:ascii="Times New Roman" w:hAnsi="Times New Roman"/>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001-42789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2203 Scottsdale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Leander,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78641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893-5570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489"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489"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489"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489"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Resignation of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2026, Thomas Zurbuchen notified the Board of Directors (the “Board”) of Firefly Aerospace Inc. (the “Company”) of his decision to resign as a director of the Company, effective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Zurbuchen’s resignation was not the result of any disagreement with the Company or its management on any matter relating to the Company’s operations, policies or practices. The Board thanks Dr. Zurbuchen for his service and contributions to the Board and wishes him well in his future endeavors.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Appointment of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2026, the Board appointed Rick Ambrose to serve as a Class III director of the Company, effective immediately, with a term expiring at the Company’s annual meeting of stockholders to be held in 2028 or until his successor is duly elected and qualified.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also appointed Mr. Ambrose to serve as a member of the Audit Committee of the Board and as a member of the Compensation Committee of the Board, in each case effective immediately.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Mr. Ambrose is “independent” under the applicable listing standards of The Nasdaq Stock Market LLC (“Nasdaq”) and the applicable rules of the Securities and Exchange Commission, including, with respect to service on the Audit Committee, the heightened independence requirements of Rule 10A-3 under the Securities Exchange Act of 1934, as amended (the “Exchange Act”), and the applicable Nasdaq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Ambrose, age 68, currently serves on the board of directors of Textron Inc. (NYSE: TXT). Since December 2022, he has served as a Senior Director at SDR Ventures, and since September 2022, he has served as the President of Ambrose Advisors, LLC. From October 2022 to December 2023, he served as a Senior Advisor at McKinsey &amp; Company. He retired in March 2022 as the Executive Vice President—Space of Lockheed Martin Corporation, a global security and aerospace company, where he led Lockheed Martin’s $12 billion Space business. Prior to this role, which he assumed in 2013, he served as President, Lockheed Martin Information Systems &amp; Global Solutions-National from 2011 through 2012 and as Vice President &amp; General Manager, Lockheed Martin Surveillance &amp; Navigation Systems, a line of business within Space, from 2006 through 2010. He joined Lockheed in 2000 as Vice President &amp; General Manager, Lockheed Martin Ground Systems and served as President, Lockheed Martin Maritime Systems &amp; Sensors Tactical Systems from 2004 to 2006. Prior to joining Lockheed Martin, Mr. Ambrose served as President and General Manager of the Space Systems Division at Hughes Information Systems (which merged with Raytheon C3I Systems in 1997). The Board believes Mr. Ambrose is qualified to serve as a director given his leadership experience in the aerospace industry and financial expertise.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Ambrose will participate in the Company’s non-employee director compensation program as set forth in the Company’s Outside Director Compensation Policy (the “Policy”). Under the Policy, each non-employee director receives an annual cash retainer of $100,000 for Board service, payable in advance in four equal quarterly installments. Non-employee directors also receive additional annual cash retainers of $50,000 for the Non-Executive Chair of the Board; $20,000 and $10,000 for the chair and members, respectively, of the Audit Committee of the Board; $15,000 and $7,500 for the chair and members, respectively, of the Compensation Committee of the Board; and $15,000 and $5,000 for the chair and members, respectively, of the Nominating and Corporate Governance Committee of the Board. In addition, pursuant to the Policy, as a newly appointed director, Mr. Ambrose will receive a one-time grant of restricted stock units with a value of $150,000 and, as a non-employee director, will receive an annual restricted stock unit grant with a value of $150,000 on the date of each annual meeting of stockholders, with Mr. Ambrose’s annual grant at the first annual meeting following his appointment being prorated to reflect the portion of the preceding year he served as a non-employee director. Each such grant vests in full on the first anniversary of the grant date subject to such director’s resignation from our Board or otherwise ceasing to serve as a director through the vesting date. Each equity grant under the Policy is subject to full acceleration of vesting immediately prior to a Change in Control (as defined in the Policy) of the Company. The Company also reimburses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non-employee directors for reasonable out-of-pocket expenses incurred in attending Board and committee meetings. The foregoing description of the Policy does not purport to be complete and is qualified in its entirety by reference to the full text of the Policy, which is filed as Exhibit 10.6 to the Company’s Quarterly Report on Form 10-Q for the period ended June 30, 2026 and is incorporated by reference herein. In connection with his appointment, Mr. Ambrose will also enter into the Company’s form of indemnification agreement for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arrangements or understandings between Mr. Ambrose and any other person pursuant to which he was selected to serve as a director of the Company. There are no transactions, and no currently proposed transactions, between the Company and Mr. Ambrose that would require disclosure under Item 404(a) of Regulation S-K. There are no family relationships between Mr. Ambrose and any director or executive officer of the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89" w:type="dxa"/>
        <w:jc w:val="left"/>
        <w:tblInd w:w="0" w:type="dxa"/>
        <w:tblLayout w:type="fixed"/>
        <w:tblCellMar>
          <w:top w:w="28" w:type="dxa"/>
          <w:left w:w="28" w:type="dxa"/>
          <w:bottom w:w="28" w:type="dxa"/>
          <w:right w:w="28" w:type="dxa"/>
        </w:tblCellMar>
      </w:tblPr>
      <w:tblGrid>
        <w:gridCol w:w="556"/>
        <w:gridCol w:w="1411"/>
        <w:gridCol w:w="451"/>
        <w:gridCol w:w="267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FIREFLY AEROSPACE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Darren Ma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Darren Ma</w:t>
              <w:b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1569</Words>
  <Characters>8569</Characters>
  <CharactersWithSpaces>10135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