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1070610</wp:posOffset>
            </wp:positionH>
            <wp:positionV relativeFrom="page">
              <wp:posOffset>509270</wp:posOffset>
            </wp:positionV>
            <wp:extent cx="54070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07025" cy="7620"/>
                    </a:xfrm>
                    <a:prstGeom prst="rect">
                      <a:avLst/>
                    </a:prstGeom>
                    <a:noFill/>
                  </pic:spPr>
                </pic:pic>
              </a:graphicData>
            </a:graphic>
          </wp:anchor>
        </w:drawing>
        <w:drawing>
          <wp:anchor simplePos="0" relativeHeight="251657728" behindDoc="1" locked="0" layoutInCell="0" allowOverlap="1">
            <wp:simplePos x="0" y="0"/>
            <wp:positionH relativeFrom="page">
              <wp:posOffset>1070610</wp:posOffset>
            </wp:positionH>
            <wp:positionV relativeFrom="page">
              <wp:posOffset>524510</wp:posOffset>
            </wp:positionV>
            <wp:extent cx="54070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07025" cy="7620"/>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2319020</wp:posOffset>
            </wp:positionH>
            <wp:positionV relativeFrom="paragraph">
              <wp:posOffset>118745</wp:posOffset>
            </wp:positionV>
            <wp:extent cx="10814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1405" cy="7620"/>
                    </a:xfrm>
                    <a:prstGeom prst="rect">
                      <a:avLst/>
                    </a:prstGeom>
                    <a:noFill/>
                  </pic:spPr>
                </pic:pic>
              </a:graphicData>
            </a:graphic>
          </wp:anchor>
        </w:drawing>
      </w:r>
    </w:p>
    <w:p>
      <w:pPr>
        <w:spacing w:after="0" w:line="2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2319020</wp:posOffset>
            </wp:positionH>
            <wp:positionV relativeFrom="paragraph">
              <wp:posOffset>145415</wp:posOffset>
            </wp:positionV>
            <wp:extent cx="10814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1405" cy="7620"/>
                    </a:xfrm>
                    <a:prstGeom prst="rect">
                      <a:avLst/>
                    </a:prstGeom>
                    <a:noFill/>
                  </pic:spPr>
                </pic:pic>
              </a:graphicData>
            </a:graphic>
          </wp:anchor>
        </w:drawing>
      </w:r>
    </w:p>
    <w:p>
      <w:pPr>
        <w:spacing w:after="0" w:line="3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September 22,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2319020</wp:posOffset>
            </wp:positionH>
            <wp:positionV relativeFrom="paragraph">
              <wp:posOffset>187960</wp:posOffset>
            </wp:positionV>
            <wp:extent cx="10814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140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8"/>
          <w:szCs w:val="38"/>
          <w:b w:val="1"/>
          <w:bCs w:val="1"/>
          <w:color w:val="auto"/>
        </w:rPr>
        <w:t>Firefly Aerospace Inc.</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2319020</wp:posOffset>
            </wp:positionH>
            <wp:positionV relativeFrom="paragraph">
              <wp:posOffset>213360</wp:posOffset>
            </wp:positionV>
            <wp:extent cx="1081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140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980" w:type="dxa"/>
        <w:tblCellMar>
          <w:top w:w="0" w:type="dxa"/>
          <w:left w:w="0" w:type="dxa"/>
          <w:bottom w:w="0" w:type="dxa"/>
          <w:right w:w="0" w:type="dxa"/>
        </w:tblCellMar>
      </w:tblPr>
      <w:tr>
        <w:trPr>
          <w:trHeight w:val="195"/>
        </w:trPr>
        <w:tc>
          <w:tcPr>
            <w:tcW w:w="2440" w:type="dxa"/>
            <w:vAlign w:val="bottom"/>
          </w:tcPr>
          <w:p>
            <w:pPr>
              <w:jc w:val="center"/>
              <w:ind w:right="33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460" w:type="dxa"/>
            <w:vAlign w:val="bottom"/>
          </w:tcPr>
          <w:p>
            <w:pPr>
              <w:jc w:val="right"/>
              <w:ind w:right="951"/>
              <w:spacing w:after="0"/>
              <w:rPr>
                <w:sz w:val="20"/>
                <w:szCs w:val="20"/>
                <w:color w:val="auto"/>
              </w:rPr>
            </w:pPr>
            <w:r>
              <w:rPr>
                <w:rFonts w:ascii="Times New Roman" w:cs="Times New Roman" w:eastAsia="Times New Roman" w:hAnsi="Times New Roman"/>
                <w:sz w:val="16"/>
                <w:szCs w:val="16"/>
                <w:b w:val="1"/>
                <w:bCs w:val="1"/>
                <w:color w:val="auto"/>
              </w:rPr>
              <w:t>001-42789</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81-5194980</w:t>
            </w:r>
          </w:p>
        </w:tc>
      </w:tr>
      <w:tr>
        <w:trPr>
          <w:trHeight w:val="130"/>
        </w:trPr>
        <w:tc>
          <w:tcPr>
            <w:tcW w:w="2440" w:type="dxa"/>
            <w:vAlign w:val="bottom"/>
          </w:tcPr>
          <w:p>
            <w:pPr>
              <w:jc w:val="center"/>
              <w:ind w:right="33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24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1600" w:type="dxa"/>
            <w:vAlign w:val="bottom"/>
          </w:tcPr>
          <w:p>
            <w:pPr>
              <w:jc w:val="center"/>
              <w:ind w:left="613"/>
              <w:spacing w:after="0" w:line="130" w:lineRule="exact"/>
              <w:rPr>
                <w:sz w:val="20"/>
                <w:szCs w:val="20"/>
                <w:color w:val="auto"/>
              </w:rPr>
            </w:pPr>
            <w:r>
              <w:rPr>
                <w:rFonts w:ascii="Times New Roman" w:cs="Times New Roman" w:eastAsia="Times New Roman" w:hAnsi="Times New Roman"/>
                <w:sz w:val="12"/>
                <w:szCs w:val="12"/>
                <w:b w:val="1"/>
                <w:bCs w:val="1"/>
                <w:color w:val="auto"/>
                <w:w w:val="97"/>
              </w:rPr>
              <w:t>(IRS Employer</w:t>
            </w:r>
          </w:p>
        </w:tc>
      </w:tr>
      <w:tr>
        <w:trPr>
          <w:trHeight w:val="155"/>
        </w:trPr>
        <w:tc>
          <w:tcPr>
            <w:tcW w:w="2440" w:type="dxa"/>
            <w:vAlign w:val="bottom"/>
          </w:tcPr>
          <w:p>
            <w:pPr>
              <w:jc w:val="center"/>
              <w:ind w:right="33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2460" w:type="dxa"/>
            <w:vAlign w:val="bottom"/>
          </w:tcPr>
          <w:p>
            <w:pPr>
              <w:spacing w:after="0"/>
              <w:rPr>
                <w:sz w:val="13"/>
                <w:szCs w:val="13"/>
                <w:color w:val="auto"/>
              </w:rPr>
            </w:pPr>
          </w:p>
        </w:tc>
        <w:tc>
          <w:tcPr>
            <w:tcW w:w="1600" w:type="dxa"/>
            <w:vAlign w:val="bottom"/>
          </w:tcPr>
          <w:p>
            <w:pPr>
              <w:jc w:val="center"/>
              <w:ind w:left="613"/>
              <w:spacing w:after="0"/>
              <w:rPr>
                <w:sz w:val="20"/>
                <w:szCs w:val="20"/>
                <w:color w:val="auto"/>
              </w:rPr>
            </w:pPr>
            <w:r>
              <w:rPr>
                <w:rFonts w:ascii="Times New Roman" w:cs="Times New Roman" w:eastAsia="Times New Roman" w:hAnsi="Times New Roman"/>
                <w:sz w:val="12"/>
                <w:szCs w:val="12"/>
                <w:b w:val="1"/>
                <w:bCs w:val="1"/>
                <w:color w:val="auto"/>
                <w:w w:val="97"/>
              </w:rPr>
              <w:t>Identification No.)</w:t>
            </w:r>
          </w:p>
        </w:tc>
      </w:tr>
      <w:tr>
        <w:trPr>
          <w:trHeight w:val="348"/>
        </w:trPr>
        <w:tc>
          <w:tcPr>
            <w:tcW w:w="2440" w:type="dxa"/>
            <w:vAlign w:val="bottom"/>
          </w:tcPr>
          <w:p>
            <w:pPr>
              <w:jc w:val="center"/>
              <w:ind w:right="331"/>
              <w:spacing w:after="0"/>
              <w:rPr>
                <w:sz w:val="20"/>
                <w:szCs w:val="20"/>
                <w:color w:val="auto"/>
              </w:rPr>
            </w:pPr>
            <w:r>
              <w:rPr>
                <w:rFonts w:ascii="Times New Roman" w:cs="Times New Roman" w:eastAsia="Times New Roman" w:hAnsi="Times New Roman"/>
                <w:sz w:val="16"/>
                <w:szCs w:val="16"/>
                <w:b w:val="1"/>
                <w:bCs w:val="1"/>
                <w:color w:val="auto"/>
                <w:w w:val="98"/>
              </w:rPr>
              <w:t>1320 Arrow Point Drive, #109</w:t>
            </w:r>
          </w:p>
        </w:tc>
        <w:tc>
          <w:tcPr>
            <w:tcW w:w="24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95"/>
        </w:trPr>
        <w:tc>
          <w:tcPr>
            <w:tcW w:w="2440" w:type="dxa"/>
            <w:vAlign w:val="bottom"/>
          </w:tcPr>
          <w:p>
            <w:pPr>
              <w:jc w:val="center"/>
              <w:ind w:right="351"/>
              <w:spacing w:after="0"/>
              <w:rPr>
                <w:sz w:val="20"/>
                <w:szCs w:val="20"/>
                <w:color w:val="auto"/>
              </w:rPr>
            </w:pPr>
            <w:r>
              <w:rPr>
                <w:rFonts w:ascii="Times New Roman" w:cs="Times New Roman" w:eastAsia="Times New Roman" w:hAnsi="Times New Roman"/>
                <w:sz w:val="16"/>
                <w:szCs w:val="16"/>
                <w:b w:val="1"/>
                <w:bCs w:val="1"/>
                <w:color w:val="auto"/>
                <w:w w:val="98"/>
              </w:rPr>
              <w:t>Cedar Park, Texas</w:t>
            </w:r>
          </w:p>
        </w:tc>
        <w:tc>
          <w:tcPr>
            <w:tcW w:w="2460" w:type="dxa"/>
            <w:vAlign w:val="bottom"/>
          </w:tcPr>
          <w:p>
            <w:pPr>
              <w:spacing w:after="0"/>
              <w:rPr>
                <w:sz w:val="16"/>
                <w:szCs w:val="16"/>
                <w:color w:val="auto"/>
              </w:rPr>
            </w:pPr>
          </w:p>
        </w:tc>
        <w:tc>
          <w:tcPr>
            <w:tcW w:w="16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78613</w:t>
            </w:r>
          </w:p>
        </w:tc>
      </w:tr>
      <w:tr>
        <w:trPr>
          <w:trHeight w:val="155"/>
        </w:trPr>
        <w:tc>
          <w:tcPr>
            <w:tcW w:w="2440" w:type="dxa"/>
            <w:vAlign w:val="bottom"/>
          </w:tcPr>
          <w:p>
            <w:pPr>
              <w:jc w:val="center"/>
              <w:ind w:right="3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2460" w:type="dxa"/>
            <w:vAlign w:val="bottom"/>
          </w:tcPr>
          <w:p>
            <w:pPr>
              <w:spacing w:after="0"/>
              <w:rPr>
                <w:sz w:val="13"/>
                <w:szCs w:val="13"/>
                <w:color w:val="auto"/>
              </w:rPr>
            </w:pPr>
          </w:p>
        </w:tc>
        <w:tc>
          <w:tcPr>
            <w:tcW w:w="1600" w:type="dxa"/>
            <w:vAlign w:val="bottom"/>
          </w:tcPr>
          <w:p>
            <w:pPr>
              <w:jc w:val="center"/>
              <w:ind w:left="613"/>
              <w:spacing w:after="0"/>
              <w:rPr>
                <w:sz w:val="20"/>
                <w:szCs w:val="20"/>
                <w:color w:val="auto"/>
              </w:rPr>
            </w:pPr>
            <w:r>
              <w:rPr>
                <w:rFonts w:ascii="Times New Roman" w:cs="Times New Roman" w:eastAsia="Times New Roman" w:hAnsi="Times New Roman"/>
                <w:sz w:val="12"/>
                <w:szCs w:val="12"/>
                <w:b w:val="1"/>
                <w:bCs w:val="1"/>
                <w:color w:val="auto"/>
              </w:rPr>
              <w:t>(Zip Code)</w:t>
            </w:r>
          </w:p>
        </w:tc>
      </w:tr>
    </w:tbl>
    <w:p>
      <w:pPr>
        <w:spacing w:after="0" w:line="3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512 893-5570</w:t>
      </w:r>
    </w:p>
    <w:p>
      <w:pPr>
        <w:spacing w:after="0" w:line="3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2319020</wp:posOffset>
            </wp:positionH>
            <wp:positionV relativeFrom="paragraph">
              <wp:posOffset>212090</wp:posOffset>
            </wp:positionV>
            <wp:extent cx="10814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1405" cy="762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240" w:right="599"/>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0" w:lineRule="exact"/>
        <w:rPr>
          <w:sz w:val="24"/>
          <w:szCs w:val="24"/>
          <w:color w:val="auto"/>
        </w:rPr>
      </w:pPr>
    </w:p>
    <w:p>
      <w:pPr>
        <w:ind w:left="580" w:hanging="33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580" w:hanging="33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580" w:hanging="33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580" w:hanging="33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240" w:type="dxa"/>
        <w:tblCellMar>
          <w:top w:w="0" w:type="dxa"/>
          <w:left w:w="0" w:type="dxa"/>
          <w:bottom w:w="0" w:type="dxa"/>
          <w:right w:w="0" w:type="dxa"/>
        </w:tblCellMar>
      </w:tblPr>
      <w:tr>
        <w:trPr>
          <w:trHeight w:val="189"/>
        </w:trPr>
        <w:tc>
          <w:tcPr>
            <w:tcW w:w="3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80" w:type="dxa"/>
            <w:vAlign w:val="bottom"/>
          </w:tcPr>
          <w:p>
            <w:pPr>
              <w:spacing w:after="0"/>
              <w:rPr>
                <w:sz w:val="16"/>
                <w:szCs w:val="16"/>
                <w:color w:val="auto"/>
              </w:rPr>
            </w:pPr>
          </w:p>
        </w:tc>
        <w:tc>
          <w:tcPr>
            <w:tcW w:w="3840" w:type="dxa"/>
            <w:vAlign w:val="bottom"/>
          </w:tcPr>
          <w:p>
            <w:pPr>
              <w:spacing w:after="0"/>
              <w:rPr>
                <w:sz w:val="16"/>
                <w:szCs w:val="16"/>
                <w:color w:val="auto"/>
              </w:rPr>
            </w:pPr>
          </w:p>
        </w:tc>
      </w:tr>
      <w:tr>
        <w:trPr>
          <w:trHeight w:val="208"/>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8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Symbol(s)</w:t>
            </w:r>
          </w:p>
        </w:tc>
        <w:tc>
          <w:tcPr>
            <w:tcW w:w="80" w:type="dxa"/>
            <w:vAlign w:val="bottom"/>
          </w:tcPr>
          <w:p>
            <w:pPr>
              <w:spacing w:after="0"/>
              <w:rPr>
                <w:sz w:val="18"/>
                <w:szCs w:val="18"/>
                <w:color w:val="auto"/>
              </w:rPr>
            </w:pP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FLY</w:t>
            </w:r>
          </w:p>
        </w:tc>
        <w:tc>
          <w:tcPr>
            <w:tcW w:w="80" w:type="dxa"/>
            <w:vAlign w:val="bottom"/>
          </w:tcPr>
          <w:p>
            <w:pPr>
              <w:spacing w:after="0"/>
              <w:rPr>
                <w:sz w:val="17"/>
                <w:szCs w:val="17"/>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Nasdaq Stock Market LLC</w:t>
            </w:r>
          </w:p>
        </w:tc>
      </w:tr>
    </w:tbl>
    <w:p>
      <w:pPr>
        <w:spacing w:after="0" w:line="155" w:lineRule="exact"/>
        <w:rPr>
          <w:sz w:val="24"/>
          <w:szCs w:val="24"/>
          <w:color w:val="auto"/>
        </w:rPr>
      </w:pPr>
    </w:p>
    <w:p>
      <w:pPr>
        <w:ind w:left="240" w:right="499"/>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2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240" w:right="659"/>
        <w:spacing w:after="0" w:line="21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-223520</wp:posOffset>
            </wp:positionH>
            <wp:positionV relativeFrom="paragraph">
              <wp:posOffset>535940</wp:posOffset>
            </wp:positionV>
            <wp:extent cx="616839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68390" cy="4064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105410</wp:posOffset>
            </wp:positionV>
            <wp:extent cx="54070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7025" cy="762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120650</wp:posOffset>
            </wp:positionV>
            <wp:extent cx="54070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7025" cy="7620"/>
                    </a:xfrm>
                    <a:prstGeom prst="rect">
                      <a:avLst/>
                    </a:prstGeom>
                    <a:noFill/>
                  </pic:spPr>
                </pic:pic>
              </a:graphicData>
            </a:graphic>
          </wp:anchor>
        </w:drawing>
      </w:r>
    </w:p>
    <w:p>
      <w:pPr>
        <w:sectPr>
          <w:pgSz w:w="11900" w:h="16838" w:orient="portrait"/>
          <w:cols w:equalWidth="0" w:num="1">
            <w:col w:w="9019"/>
          </w:cols>
          <w:pgMar w:left="1440" w:top="1079" w:right="1440" w:bottom="1440" w:gutter="0" w:footer="0" w:header="0"/>
        </w:sectPr>
      </w:pPr>
    </w:p>
    <w:bookmarkStart w:id="1" w:name="page2"/>
    <w:bookmarkEnd w:id="1"/>
    <w:p>
      <w:pPr>
        <w:ind w:left="580"/>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ind w:left="580" w:right="660"/>
        <w:spacing w:after="0" w:line="261" w:lineRule="auto"/>
        <w:rPr>
          <w:sz w:val="20"/>
          <w:szCs w:val="20"/>
          <w:color w:val="auto"/>
        </w:rPr>
      </w:pPr>
      <w:r>
        <w:rPr>
          <w:rFonts w:ascii="Times New Roman" w:cs="Times New Roman" w:eastAsia="Times New Roman" w:hAnsi="Times New Roman"/>
          <w:sz w:val="16"/>
          <w:szCs w:val="16"/>
          <w:color w:val="auto"/>
        </w:rPr>
        <w:t>On September 22, 2025, Firefly Aerospace Inc. (the “Company”) issued a press release (the “Press Release”) announcing its financial results for the second quarter ended June 30, 2025. A copy of the press release is furnished as Exhibit 99.1 to this Current Report on Form 8-K.</w:t>
      </w:r>
    </w:p>
    <w:p>
      <w:pPr>
        <w:spacing w:after="0" w:line="157" w:lineRule="exact"/>
        <w:rPr>
          <w:sz w:val="20"/>
          <w:szCs w:val="20"/>
          <w:color w:val="auto"/>
        </w:rPr>
      </w:pPr>
    </w:p>
    <w:p>
      <w:pPr>
        <w:ind w:left="580" w:right="760"/>
        <w:spacing w:after="0" w:line="276" w:lineRule="auto"/>
        <w:rPr>
          <w:sz w:val="20"/>
          <w:szCs w:val="20"/>
          <w:color w:val="auto"/>
        </w:rPr>
      </w:pPr>
      <w:r>
        <w:rPr>
          <w:rFonts w:ascii="Times New Roman" w:cs="Times New Roman" w:eastAsia="Times New Roman" w:hAnsi="Times New Roman"/>
          <w:sz w:val="16"/>
          <w:szCs w:val="16"/>
          <w:color w:val="auto"/>
        </w:rPr>
        <w:t>The Company is hosting a conference call on September 22, 2025, to discuss its second quarter 2025 financial and operating results, during which the Company will provide an update on the business.</w:t>
      </w:r>
    </w:p>
    <w:p>
      <w:pPr>
        <w:spacing w:after="0" w:line="145" w:lineRule="exact"/>
        <w:rPr>
          <w:sz w:val="20"/>
          <w:szCs w:val="20"/>
          <w:color w:val="auto"/>
        </w:rPr>
      </w:pPr>
    </w:p>
    <w:p>
      <w:pPr>
        <w:ind w:left="580" w:right="600"/>
        <w:spacing w:after="0" w:line="251" w:lineRule="auto"/>
        <w:rPr>
          <w:sz w:val="20"/>
          <w:szCs w:val="20"/>
          <w:color w:val="auto"/>
        </w:rPr>
      </w:pPr>
      <w:r>
        <w:rPr>
          <w:rFonts w:ascii="Times New Roman" w:cs="Times New Roman" w:eastAsia="Times New Roman" w:hAnsi="Times New Roman"/>
          <w:sz w:val="16"/>
          <w:szCs w:val="16"/>
          <w:color w:val="auto"/>
        </w:rPr>
        <w:t>The Company is making reference to financial measures not presented in accordance with U.S. generally accepted accounting principles (“GAAP”) in the Press Release, an investor presentation concerning its second quarter 2025 financial and operating results (the “Investor Presentation”), and a conference call. A reconciliation of these non-GAAP financial measures to the nearest comparable GAAP financial measures is contained in the Press Release. The Company believes these non-GAAP financial measures provide useful information to investors because they allow for a more direct comparison of its second quarter 2025 performance to its performance in the comparable prior-year period. The non-GAAP financial measures are provided in addition to, and not as an alternative to, the Company’s reported results prepared in accordance with GAAP.</w:t>
      </w:r>
    </w:p>
    <w:p>
      <w:pPr>
        <w:spacing w:after="0" w:line="167" w:lineRule="exact"/>
        <w:rPr>
          <w:sz w:val="20"/>
          <w:szCs w:val="20"/>
          <w:color w:val="auto"/>
        </w:rPr>
      </w:pPr>
    </w:p>
    <w:p>
      <w:pPr>
        <w:ind w:left="580" w:right="620"/>
        <w:spacing w:after="0" w:line="254" w:lineRule="auto"/>
        <w:rPr>
          <w:sz w:val="20"/>
          <w:szCs w:val="20"/>
          <w:color w:val="auto"/>
        </w:rPr>
      </w:pPr>
      <w:r>
        <w:rPr>
          <w:rFonts w:ascii="Times New Roman" w:cs="Times New Roman" w:eastAsia="Times New Roman" w:hAnsi="Times New Roman"/>
          <w:sz w:val="16"/>
          <w:szCs w:val="16"/>
          <w:color w:val="auto"/>
        </w:rPr>
        <w:t>The information in this Item 2.02, including Exhibit 99.1, is being furnished and shall not be deemed “filed” for purposes of Section 18 (the “Section”) of the Securities Exchange Act of 1934, as amended (the “Exchange Act”), or otherwise subject to the liabilities of that Section, nor shall it be deemed incorporated by reference into any registration statement or other filing under the Securities Act of 1933, as amended (the “Securities Act”), or the Exchange Act, except as shall be expressly set forth by specific reference in such filing.</w:t>
      </w:r>
    </w:p>
    <w:p>
      <w:pPr>
        <w:spacing w:after="0" w:line="2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ind w:left="580" w:right="600"/>
        <w:spacing w:after="0" w:line="254" w:lineRule="auto"/>
        <w:rPr>
          <w:sz w:val="20"/>
          <w:szCs w:val="20"/>
          <w:color w:val="auto"/>
        </w:rPr>
      </w:pPr>
      <w:r>
        <w:rPr>
          <w:rFonts w:ascii="Times New Roman" w:cs="Times New Roman" w:eastAsia="Times New Roman" w:hAnsi="Times New Roman"/>
          <w:sz w:val="16"/>
          <w:szCs w:val="16"/>
          <w:color w:val="auto"/>
        </w:rPr>
        <w:t>In conjunction with the Press Release, the Company also made available the Investor Presentation. The Investor Presentation, which is available under the “Investor Relations” section of the Company’s corporate website, located at investors.fireflyspace.com, is included as Exhibit 99.2 to this Current Report on Form 8-K, which, in its entirety, is incorporated herein by reference. Information on the Company’s corporate website is not, and will not be deemed to be, a part of this Current Report on Form 8-K or incorporated into any other filings the Company may make with the U.S. Securities and Exchange Commission.</w:t>
      </w:r>
    </w:p>
    <w:p>
      <w:pPr>
        <w:spacing w:after="0" w:line="162" w:lineRule="exact"/>
        <w:rPr>
          <w:sz w:val="20"/>
          <w:szCs w:val="20"/>
          <w:color w:val="auto"/>
        </w:rPr>
      </w:pPr>
    </w:p>
    <w:p>
      <w:pPr>
        <w:ind w:left="580" w:right="720"/>
        <w:spacing w:after="0" w:line="256" w:lineRule="auto"/>
        <w:rPr>
          <w:sz w:val="20"/>
          <w:szCs w:val="20"/>
          <w:color w:val="auto"/>
        </w:rPr>
      </w:pPr>
      <w:r>
        <w:rPr>
          <w:rFonts w:ascii="Times New Roman" w:cs="Times New Roman" w:eastAsia="Times New Roman" w:hAnsi="Times New Roman"/>
          <w:sz w:val="16"/>
          <w:szCs w:val="16"/>
          <w:color w:val="auto"/>
        </w:rPr>
        <w:t>The information contained in Item 7.01 of this Current Report on Form 8-K, including Exhibits 99.1 and 99.2, shall not be deemed “filed” for purposes of Section 18 of the Exchange Act, or otherwise subject to the liabilities of that section, and shall not be deemed incorporated by reference into any filing under the Securities Act, or the Exchange Act, except as expressly set forth by specific reference in such filing.</w:t>
      </w:r>
    </w:p>
    <w:p>
      <w:pPr>
        <w:spacing w:after="0" w:line="2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 Exhibits.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7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172"/>
        </w:trPr>
        <w:tc>
          <w:tcPr>
            <w:tcW w:w="580" w:type="dxa"/>
            <w:vAlign w:val="bottom"/>
          </w:tcPr>
          <w:p>
            <w:pPr>
              <w:spacing w:after="0"/>
              <w:rPr>
                <w:sz w:val="14"/>
                <w:szCs w:val="14"/>
                <w:color w:val="auto"/>
              </w:rPr>
            </w:pPr>
          </w:p>
        </w:tc>
        <w:tc>
          <w:tcPr>
            <w:tcW w:w="122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Number</w:t>
            </w:r>
          </w:p>
        </w:tc>
        <w:tc>
          <w:tcPr>
            <w:tcW w:w="7880" w:type="dxa"/>
            <w:vAlign w:val="bottom"/>
            <w:gridSpan w:val="5"/>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358"/>
        </w:trPr>
        <w:tc>
          <w:tcPr>
            <w:tcW w:w="5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660" w:type="dxa"/>
            <w:vAlign w:val="bottom"/>
          </w:tcPr>
          <w:p>
            <w:pPr>
              <w:spacing w:after="0"/>
              <w:rPr>
                <w:sz w:val="24"/>
                <w:szCs w:val="24"/>
                <w:color w:val="auto"/>
              </w:rPr>
            </w:pPr>
          </w:p>
        </w:tc>
        <w:tc>
          <w:tcPr>
            <w:tcW w:w="78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Press Release of Firefly Aerospace Inc. dated September 22, 2025.</w:t>
            </w:r>
          </w:p>
        </w:tc>
      </w:tr>
      <w:tr>
        <w:trPr>
          <w:trHeight w:val="169"/>
        </w:trPr>
        <w:tc>
          <w:tcPr>
            <w:tcW w:w="1140" w:type="dxa"/>
            <w:vAlign w:val="bottom"/>
            <w:gridSpan w:val="2"/>
          </w:tcPr>
          <w:p>
            <w:pPr>
              <w:ind w:left="580"/>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660" w:type="dxa"/>
            <w:vAlign w:val="bottom"/>
          </w:tcPr>
          <w:p>
            <w:pPr>
              <w:spacing w:after="0"/>
              <w:rPr>
                <w:sz w:val="14"/>
                <w:szCs w:val="14"/>
                <w:color w:val="auto"/>
              </w:rPr>
            </w:pPr>
          </w:p>
        </w:tc>
        <w:tc>
          <w:tcPr>
            <w:tcW w:w="306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6"/>
                <w:szCs w:val="16"/>
                <w:color w:val="0000FF"/>
                <w:w w:val="97"/>
              </w:rPr>
              <w:t>Investor Presentation dated September 22, 2025.</w:t>
            </w:r>
          </w:p>
        </w:tc>
        <w:tc>
          <w:tcPr>
            <w:tcW w:w="20" w:type="dxa"/>
            <w:vAlign w:val="bottom"/>
            <w:tcBorders>
              <w:top w:val="single" w:sz="8" w:color="0000FF"/>
              <w:bottom w:val="single" w:sz="8" w:color="0000EE"/>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3680" w:type="dxa"/>
            <w:vAlign w:val="bottom"/>
          </w:tcPr>
          <w:p>
            <w:pPr>
              <w:spacing w:after="0"/>
              <w:rPr>
                <w:sz w:val="14"/>
                <w:szCs w:val="14"/>
                <w:color w:val="auto"/>
              </w:rPr>
            </w:pPr>
          </w:p>
        </w:tc>
      </w:tr>
      <w:tr>
        <w:trPr>
          <w:trHeight w:val="205"/>
        </w:trPr>
        <w:tc>
          <w:tcPr>
            <w:tcW w:w="11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104</w:t>
            </w:r>
          </w:p>
        </w:tc>
        <w:tc>
          <w:tcPr>
            <w:tcW w:w="660" w:type="dxa"/>
            <w:vAlign w:val="bottom"/>
          </w:tcPr>
          <w:p>
            <w:pPr>
              <w:spacing w:after="0"/>
              <w:rPr>
                <w:sz w:val="17"/>
                <w:szCs w:val="17"/>
                <w:color w:val="auto"/>
              </w:rPr>
            </w:pPr>
          </w:p>
        </w:tc>
        <w:tc>
          <w:tcPr>
            <w:tcW w:w="7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854"/>
        </w:trPr>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6127115</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680"/>
          </w:cols>
          <w:pgMar w:left="1100" w:top="972" w:right="11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left="240" w:right="639"/>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FIREFLY AEROSPACE INC.</w:t>
      </w:r>
    </w:p>
    <w:p>
      <w:pPr>
        <w:spacing w:after="0" w:line="325" w:lineRule="exact"/>
        <w:rPr>
          <w:sz w:val="20"/>
          <w:szCs w:val="20"/>
          <w:color w:val="auto"/>
        </w:rPr>
      </w:pPr>
    </w:p>
    <w:p>
      <w:pPr>
        <w:ind w:left="240"/>
        <w:spacing w:after="0"/>
        <w:tabs>
          <w:tab w:leader="none" w:pos="740" w:val="left"/>
          <w:tab w:leader="none" w:pos="4500" w:val="left"/>
        </w:tabs>
        <w:rPr>
          <w:sz w:val="20"/>
          <w:szCs w:val="20"/>
          <w:color w:val="auto"/>
        </w:rPr>
      </w:pPr>
      <w:r>
        <w:rPr>
          <w:rFonts w:ascii="Times New Roman" w:cs="Times New Roman" w:eastAsia="Times New Roman" w:hAnsi="Times New Roman"/>
          <w:sz w:val="16"/>
          <w:szCs w:val="16"/>
          <w:color w:val="auto"/>
        </w:rPr>
        <w:t>Date:</w:t>
        <w:tab/>
        <w:t>September 22, 2025</w:t>
      </w:r>
      <w:r>
        <w:rPr>
          <w:sz w:val="20"/>
          <w:szCs w:val="20"/>
          <w:color w:val="auto"/>
        </w:rPr>
        <w:tab/>
      </w: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b w:val="1"/>
          <w:bCs w:val="1"/>
          <w:color w:val="auto"/>
        </w:rPr>
        <w:t>Jason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15240</wp:posOffset>
            </wp:positionV>
            <wp:extent cx="24860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6025" cy="7620"/>
                    </a:xfrm>
                    <a:prstGeom prst="rect">
                      <a:avLst/>
                    </a:prstGeom>
                    <a:noFill/>
                  </pic:spPr>
                </pic:pic>
              </a:graphicData>
            </a:graphic>
          </wp:anchor>
        </w:drawing>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200" w:lineRule="exact"/>
        <w:rPr>
          <w:sz w:val="20"/>
          <w:szCs w:val="20"/>
          <w:color w:val="auto"/>
        </w:rPr>
      </w:pPr>
    </w:p>
    <w:p>
      <w:pPr>
        <w:spacing w:after="0" w:line="349" w:lineRule="exact"/>
        <w:rPr>
          <w:sz w:val="20"/>
          <w:szCs w:val="20"/>
          <w:color w:val="auto"/>
        </w:rPr>
      </w:pPr>
    </w:p>
    <w:p>
      <w:pPr>
        <w:ind w:left="240"/>
        <w:spacing w:after="0"/>
        <w:tabs>
          <w:tab w:leader="none" w:pos="740" w:val="left"/>
          <w:tab w:leader="none" w:pos="4500" w:val="left"/>
        </w:tabs>
        <w:rPr>
          <w:sz w:val="20"/>
          <w:szCs w:val="20"/>
          <w:color w:val="auto"/>
        </w:rPr>
      </w:pPr>
      <w:r>
        <w:rPr>
          <w:rFonts w:ascii="Times New Roman" w:cs="Times New Roman" w:eastAsia="Times New Roman" w:hAnsi="Times New Roman"/>
          <w:sz w:val="16"/>
          <w:szCs w:val="16"/>
          <w:color w:val="auto"/>
        </w:rPr>
        <w:t>Date:</w:t>
        <w:tab/>
        <w:t>September 22, 2025</w:t>
      </w:r>
      <w:r>
        <w:rPr>
          <w:sz w:val="20"/>
          <w:szCs w:val="20"/>
          <w:color w:val="auto"/>
        </w:rPr>
        <w:tab/>
      </w: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6"/>
          <w:szCs w:val="16"/>
          <w:b w:val="1"/>
          <w:bCs w:val="1"/>
          <w:color w:val="auto"/>
        </w:rPr>
        <w:t>Darren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15240</wp:posOffset>
            </wp:positionV>
            <wp:extent cx="248602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86025" cy="7620"/>
                    </a:xfrm>
                    <a:prstGeom prst="rect">
                      <a:avLst/>
                    </a:prstGeom>
                    <a:noFill/>
                  </pic:spPr>
                </pic:pic>
              </a:graphicData>
            </a:graphic>
          </wp:anchor>
        </w:drawing>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633095</wp:posOffset>
            </wp:positionV>
            <wp:extent cx="616839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689"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449580</wp:posOffset>
            </wp:positionV>
            <wp:extent cx="1344295" cy="698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44295" cy="698500"/>
                    </a:xfrm>
                    <a:prstGeom prst="rect">
                      <a:avLst/>
                    </a:prstGeom>
                    <a:noFill/>
                  </pic:spPr>
                </pic:pic>
              </a:graphicData>
            </a:graphic>
          </wp:anchor>
        </w:drawing>
      </w:r>
    </w:p>
    <w:p>
      <w:pPr>
        <w:spacing w:after="0" w:line="360" w:lineRule="exact"/>
        <w:rPr>
          <w:sz w:val="20"/>
          <w:szCs w:val="20"/>
          <w:color w:val="auto"/>
        </w:rPr>
      </w:pPr>
    </w:p>
    <w:p>
      <w:pPr>
        <w:jc w:val="center"/>
        <w:ind w:left="820" w:right="879"/>
        <w:spacing w:after="0" w:line="283" w:lineRule="auto"/>
        <w:rPr>
          <w:sz w:val="20"/>
          <w:szCs w:val="20"/>
          <w:color w:val="auto"/>
        </w:rPr>
      </w:pPr>
      <w:r>
        <w:rPr>
          <w:rFonts w:ascii="Arial" w:cs="Arial" w:eastAsia="Arial" w:hAnsi="Arial"/>
          <w:sz w:val="22"/>
          <w:szCs w:val="22"/>
          <w:color w:val="auto"/>
        </w:rPr>
        <w:t>Firefly Aerospace Announces Second Quarter 2025 Financial Results After Historic IPO</w:t>
      </w:r>
    </w:p>
    <w:p>
      <w:pPr>
        <w:spacing w:after="0" w:line="183" w:lineRule="exact"/>
        <w:rPr>
          <w:sz w:val="20"/>
          <w:szCs w:val="20"/>
          <w:color w:val="auto"/>
        </w:rPr>
      </w:pPr>
    </w:p>
    <w:p>
      <w:pPr>
        <w:jc w:val="center"/>
        <w:ind w:left="820" w:right="899"/>
        <w:spacing w:after="0" w:line="265" w:lineRule="auto"/>
        <w:rPr>
          <w:sz w:val="20"/>
          <w:szCs w:val="20"/>
          <w:color w:val="auto"/>
        </w:rPr>
      </w:pPr>
      <w:r>
        <w:rPr>
          <w:rFonts w:ascii="Arial" w:cs="Arial" w:eastAsia="Arial" w:hAnsi="Arial"/>
          <w:sz w:val="19"/>
          <w:szCs w:val="19"/>
          <w:i w:val="1"/>
          <w:iCs w:val="1"/>
          <w:color w:val="auto"/>
        </w:rPr>
        <w:t>Company increased backlog to $1.3 billion by end of July and bolstered balance sheet; FAA cleared Alpha for return to flight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60325</wp:posOffset>
            </wp:positionV>
            <wp:extent cx="4686300" cy="2635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86300" cy="2635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Firefly Aerospace rang the Bell at the Nasdaq MarketSite on August 7, 2025.</w:t>
      </w:r>
    </w:p>
    <w:p>
      <w:pPr>
        <w:spacing w:after="0" w:line="218" w:lineRule="exact"/>
        <w:rPr>
          <w:sz w:val="20"/>
          <w:szCs w:val="20"/>
          <w:color w:val="auto"/>
        </w:rPr>
      </w:pPr>
    </w:p>
    <w:p>
      <w:pPr>
        <w:jc w:val="both"/>
        <w:ind w:left="820" w:right="1099"/>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Cedar Park, Texas, September 22, 2025 </w:t>
      </w:r>
      <w:r>
        <w:rPr>
          <w:rFonts w:ascii="Times New Roman" w:cs="Times New Roman" w:eastAsia="Times New Roman" w:hAnsi="Times New Roman"/>
          <w:sz w:val="17"/>
          <w:szCs w:val="17"/>
          <w:color w:val="auto"/>
        </w:rPr>
        <w:t>– Firefly Aerospace (Nasdaq: FLY), a market leading space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defense technology company, today issued financial results for the second quarter ended June 30, 2025.</w:t>
      </w:r>
    </w:p>
    <w:p>
      <w:pPr>
        <w:spacing w:after="0" w:line="71" w:lineRule="exact"/>
        <w:rPr>
          <w:sz w:val="20"/>
          <w:szCs w:val="20"/>
          <w:color w:val="auto"/>
        </w:rPr>
      </w:pPr>
    </w:p>
    <w:p>
      <w:pPr>
        <w:ind w:left="820" w:right="839"/>
        <w:spacing w:after="0" w:line="259" w:lineRule="auto"/>
        <w:rPr>
          <w:sz w:val="20"/>
          <w:szCs w:val="20"/>
          <w:color w:val="auto"/>
        </w:rPr>
      </w:pPr>
      <w:r>
        <w:rPr>
          <w:rFonts w:ascii="Times New Roman" w:cs="Times New Roman" w:eastAsia="Times New Roman" w:hAnsi="Times New Roman"/>
          <w:sz w:val="17"/>
          <w:szCs w:val="17"/>
          <w:color w:val="auto"/>
        </w:rPr>
        <w:t>“Firefly’s historic IPO last month reflects the bold culture of our generational company, which delivers on the most challenging missions in space,” said Firefly Aerospace CEO Jason Kim. “We’re pleased to announce our initial quarterly results as a public company, reflecting the steady progress across our launch and spacecraft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2055495</wp:posOffset>
            </wp:positionV>
            <wp:extent cx="616839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449580</wp:posOffset>
            </wp:positionV>
            <wp:extent cx="1344295" cy="698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44295" cy="698500"/>
                    </a:xfrm>
                    <a:prstGeom prst="rect">
                      <a:avLst/>
                    </a:prstGeom>
                    <a:noFill/>
                  </pic:spPr>
                </pic:pic>
              </a:graphicData>
            </a:graphic>
          </wp:anchor>
        </w:drawing>
      </w:r>
    </w:p>
    <w:p>
      <w:pPr>
        <w:spacing w:after="0" w:line="3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color w:val="auto"/>
        </w:rPr>
        <w:t>Second Quarter 2025 Highlights</w:t>
      </w:r>
    </w:p>
    <w:p>
      <w:pPr>
        <w:spacing w:after="0" w:line="138" w:lineRule="exact"/>
        <w:rPr>
          <w:sz w:val="20"/>
          <w:szCs w:val="20"/>
          <w:color w:val="auto"/>
        </w:rPr>
      </w:pPr>
    </w:p>
    <w:p>
      <w:pPr>
        <w:ind w:left="1380" w:right="879" w:hanging="282"/>
        <w:spacing w:after="0" w:line="259" w:lineRule="auto"/>
        <w:tabs>
          <w:tab w:leader="none" w:pos="13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CEO Jason Kim testified before Congress on the success of Blue Ghost Mission 1 and the critical future of NASA’s Commercial Lunar Payload Services (CLPS) initiative.</w:t>
      </w:r>
    </w:p>
    <w:p>
      <w:pPr>
        <w:ind w:left="1380" w:right="1459" w:hanging="282"/>
        <w:spacing w:after="0" w:line="246" w:lineRule="auto"/>
        <w:tabs>
          <w:tab w:leader="none" w:pos="13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Blue Ghost Mission 2 structures entered assembly in Firefly’s spacecraft cleanroom after completing the Integration Readiness Review, with first payload delivery accepted.</w:t>
      </w:r>
    </w:p>
    <w:p>
      <w:pPr>
        <w:spacing w:after="0" w:line="1" w:lineRule="exact"/>
        <w:rPr>
          <w:rFonts w:ascii="Times New Roman" w:cs="Times New Roman" w:eastAsia="Times New Roman" w:hAnsi="Times New Roman"/>
          <w:sz w:val="17"/>
          <w:szCs w:val="17"/>
          <w:color w:val="auto"/>
        </w:rPr>
      </w:pPr>
    </w:p>
    <w:p>
      <w:pPr>
        <w:ind w:left="1380" w:right="979" w:hanging="282"/>
        <w:spacing w:after="0" w:line="246" w:lineRule="auto"/>
        <w:tabs>
          <w:tab w:leader="none" w:pos="13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United Arab Emirates’ Rashid 2 Rover announced as an international payload customer on Blue Ghost Mission 2.</w:t>
      </w:r>
    </w:p>
    <w:p>
      <w:pPr>
        <w:spacing w:after="0" w:line="1" w:lineRule="exact"/>
        <w:rPr>
          <w:rFonts w:ascii="Times New Roman" w:cs="Times New Roman" w:eastAsia="Times New Roman" w:hAnsi="Times New Roman"/>
          <w:sz w:val="17"/>
          <w:szCs w:val="17"/>
          <w:color w:val="auto"/>
        </w:rPr>
      </w:pPr>
    </w:p>
    <w:p>
      <w:pPr>
        <w:ind w:left="1380" w:right="879" w:hanging="282"/>
        <w:spacing w:after="0" w:line="246" w:lineRule="auto"/>
        <w:tabs>
          <w:tab w:leader="none" w:pos="13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Elytra Mission 3 contract awarded by the U.S. Department of Defense’s Defense Innovation Unit for a 2027 national security mission.</w:t>
      </w:r>
    </w:p>
    <w:p>
      <w:pPr>
        <w:spacing w:after="0" w:line="1" w:lineRule="exact"/>
        <w:rPr>
          <w:rFonts w:ascii="Times New Roman" w:cs="Times New Roman" w:eastAsia="Times New Roman" w:hAnsi="Times New Roman"/>
          <w:sz w:val="17"/>
          <w:szCs w:val="17"/>
          <w:color w:val="auto"/>
        </w:rPr>
      </w:pPr>
    </w:p>
    <w:p>
      <w:pPr>
        <w:ind w:left="1380" w:right="1059" w:hanging="282"/>
        <w:spacing w:after="0" w:line="246" w:lineRule="auto"/>
        <w:tabs>
          <w:tab w:leader="none" w:pos="13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Ocula high-resolution imaging service unveiled, providing more than five years of commercial services in lunar orbit via Firefly’s Elytra spacecraft supporting each upcoming Blue Ghost mission.</w:t>
      </w:r>
    </w:p>
    <w:p>
      <w:pPr>
        <w:spacing w:after="0" w:line="2" w:lineRule="exact"/>
        <w:rPr>
          <w:rFonts w:ascii="Times New Roman" w:cs="Times New Roman" w:eastAsia="Times New Roman" w:hAnsi="Times New Roman"/>
          <w:sz w:val="17"/>
          <w:szCs w:val="17"/>
          <w:color w:val="auto"/>
        </w:rPr>
      </w:pPr>
    </w:p>
    <w:p>
      <w:pPr>
        <w:ind w:left="1380" w:right="1199" w:hanging="282"/>
        <w:spacing w:after="0" w:line="246" w:lineRule="auto"/>
        <w:tabs>
          <w:tab w:leader="none" w:pos="13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Sweden signed Technology Safeguards Agreement with the U.S., clearing the way for Alpha launches from Esrange Space Center through Firefly’s partnership with the Swedish Space Corporation.</w:t>
      </w:r>
    </w:p>
    <w:p>
      <w:pPr>
        <w:spacing w:after="0" w:line="2" w:lineRule="exact"/>
        <w:rPr>
          <w:rFonts w:ascii="Times New Roman" w:cs="Times New Roman" w:eastAsia="Times New Roman" w:hAnsi="Times New Roman"/>
          <w:sz w:val="17"/>
          <w:szCs w:val="17"/>
          <w:color w:val="auto"/>
        </w:rPr>
      </w:pPr>
    </w:p>
    <w:p>
      <w:pPr>
        <w:ind w:left="1380" w:right="1459" w:hanging="282"/>
        <w:spacing w:after="0" w:line="246" w:lineRule="auto"/>
        <w:tabs>
          <w:tab w:leader="none" w:pos="13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Northrop Grumman invested $50 million in preferred equity, backing Firefly’s long-term Eclipse™ launch vehicle partnership with additional financial support.</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color w:val="auto"/>
        </w:rPr>
        <w:t>Additional Recent Highlights</w:t>
      </w:r>
    </w:p>
    <w:p>
      <w:pPr>
        <w:spacing w:after="0" w:line="104" w:lineRule="exact"/>
        <w:rPr>
          <w:sz w:val="20"/>
          <w:szCs w:val="20"/>
          <w:color w:val="auto"/>
        </w:rPr>
      </w:pPr>
    </w:p>
    <w:p>
      <w:pPr>
        <w:ind w:left="1380" w:right="1079" w:hanging="282"/>
        <w:spacing w:after="0" w:line="259"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Raised $933.1 million in net proceeds from Initial Public Offering of common stock and listed and began trading on the Nasdaq on August 7, 2025.</w:t>
      </w:r>
    </w:p>
    <w:p>
      <w:pPr>
        <w:ind w:left="1380" w:right="1019" w:hanging="282"/>
        <w:spacing w:after="0" w:line="246"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NASA awarded Blue Ghost Mission 4 contract worth $176.7 million for lunar payload delivery on July 29, 2025, increasing Firefly's total backlog to approximately $1.3 billion.</w:t>
      </w:r>
    </w:p>
    <w:p>
      <w:pPr>
        <w:spacing w:after="0" w:line="1" w:lineRule="exact"/>
        <w:rPr>
          <w:rFonts w:ascii="Times New Roman" w:cs="Times New Roman" w:eastAsia="Times New Roman" w:hAnsi="Times New Roman"/>
          <w:sz w:val="17"/>
          <w:szCs w:val="17"/>
          <w:color w:val="auto"/>
        </w:rPr>
      </w:pPr>
    </w:p>
    <w:p>
      <w:pPr>
        <w:ind w:left="1380" w:right="939" w:hanging="282"/>
        <w:spacing w:after="0" w:line="246"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September 22, 2025, reached 95 hot fire tests of the Miranda engine, which will power the debut launch of Eclipse which is expected to take place as early as next year.</w:t>
      </w:r>
    </w:p>
    <w:p>
      <w:pPr>
        <w:spacing w:after="0" w:line="1" w:lineRule="exact"/>
        <w:rPr>
          <w:rFonts w:ascii="Times New Roman" w:cs="Times New Roman" w:eastAsia="Times New Roman" w:hAnsi="Times New Roman"/>
          <w:sz w:val="17"/>
          <w:szCs w:val="17"/>
          <w:color w:val="auto"/>
        </w:rPr>
      </w:pPr>
    </w:p>
    <w:p>
      <w:pPr>
        <w:ind w:left="1380" w:right="819" w:hanging="282"/>
        <w:spacing w:after="0" w:line="246"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FAA issued Return to Flight determination for Alpha on August 26, 2025, with Firefly working to determine the next available launch window for Alpha Flight 7.</w:t>
      </w:r>
    </w:p>
    <w:p>
      <w:pPr>
        <w:spacing w:after="0" w:line="1" w:lineRule="exact"/>
        <w:rPr>
          <w:rFonts w:ascii="Times New Roman" w:cs="Times New Roman" w:eastAsia="Times New Roman" w:hAnsi="Times New Roman"/>
          <w:sz w:val="17"/>
          <w:szCs w:val="17"/>
          <w:color w:val="auto"/>
        </w:rPr>
      </w:pPr>
    </w:p>
    <w:p>
      <w:pPr>
        <w:ind w:left="1380" w:hanging="282"/>
        <w:spacing w:after="0"/>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NASA awarded $10 million contract addendum on September 22, 2025, for acquisition of</w:t>
      </w:r>
    </w:p>
    <w:p>
      <w:pPr>
        <w:spacing w:after="0" w:line="6" w:lineRule="exact"/>
        <w:rPr>
          <w:sz w:val="20"/>
          <w:szCs w:val="20"/>
          <w:color w:val="auto"/>
        </w:rPr>
      </w:pPr>
    </w:p>
    <w:p>
      <w:pPr>
        <w:ind w:left="1380" w:right="859"/>
        <w:spacing w:after="0" w:line="246" w:lineRule="auto"/>
        <w:rPr>
          <w:sz w:val="20"/>
          <w:szCs w:val="20"/>
          <w:color w:val="auto"/>
        </w:rPr>
      </w:pPr>
      <w:r>
        <w:rPr>
          <w:rFonts w:ascii="Times New Roman" w:cs="Times New Roman" w:eastAsia="Times New Roman" w:hAnsi="Times New Roman"/>
          <w:sz w:val="17"/>
          <w:szCs w:val="17"/>
          <w:color w:val="auto"/>
        </w:rPr>
        <w:t>additional lunar data collected beyond the initial contractual requirements for Blue Ghost Mission 1.</w:t>
      </w:r>
    </w:p>
    <w:p>
      <w:pPr>
        <w:spacing w:after="0" w:line="1" w:lineRule="exact"/>
        <w:rPr>
          <w:sz w:val="20"/>
          <w:szCs w:val="20"/>
          <w:color w:val="auto"/>
        </w:rPr>
      </w:pPr>
    </w:p>
    <w:p>
      <w:pPr>
        <w:jc w:val="both"/>
        <w:ind w:left="820" w:right="1179"/>
        <w:spacing w:after="0" w:line="253" w:lineRule="auto"/>
        <w:rPr>
          <w:sz w:val="20"/>
          <w:szCs w:val="20"/>
          <w:color w:val="auto"/>
        </w:rPr>
      </w:pPr>
      <w:r>
        <w:rPr>
          <w:rFonts w:ascii="Times New Roman" w:cs="Times New Roman" w:eastAsia="Times New Roman" w:hAnsi="Times New Roman"/>
          <w:sz w:val="17"/>
          <w:szCs w:val="17"/>
          <w:color w:val="auto"/>
        </w:rPr>
        <w:t>“We’re ramping our flight cadence and have several Alpha vehicles in production to meet the strong demand for launch services, especially for responsive national security missions and our best-in-class customers,” Kim 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2531745</wp:posOffset>
            </wp:positionV>
            <wp:extent cx="616839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449580</wp:posOffset>
            </wp:positionV>
            <wp:extent cx="1344295" cy="698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44295" cy="698500"/>
                    </a:xfrm>
                    <a:prstGeom prst="rect">
                      <a:avLst/>
                    </a:prstGeom>
                    <a:noFill/>
                  </pic:spPr>
                </pic:pic>
              </a:graphicData>
            </a:graphic>
          </wp:anchor>
        </w:drawing>
      </w:r>
    </w:p>
    <w:p>
      <w:pPr>
        <w:spacing w:after="0" w:line="3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color w:val="auto"/>
        </w:rPr>
        <w:t>2025 Full-Year Guidance</w:t>
      </w:r>
    </w:p>
    <w:p>
      <w:pPr>
        <w:spacing w:after="0" w:line="138" w:lineRule="exact"/>
        <w:rPr>
          <w:sz w:val="20"/>
          <w:szCs w:val="20"/>
          <w:color w:val="auto"/>
        </w:rPr>
      </w:pPr>
    </w:p>
    <w:p>
      <w:pPr>
        <w:ind w:left="1380" w:hanging="282"/>
        <w:spacing w:after="0"/>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Firefly expects 2025 full-year revenue to be between $133 million and $145 million.</w:t>
      </w:r>
    </w:p>
    <w:p>
      <w:pPr>
        <w:spacing w:after="0" w:line="25" w:lineRule="exact"/>
        <w:rPr>
          <w:rFonts w:ascii="Times New Roman" w:cs="Times New Roman" w:eastAsia="Times New Roman" w:hAnsi="Times New Roman"/>
          <w:sz w:val="17"/>
          <w:szCs w:val="17"/>
          <w:color w:val="auto"/>
        </w:rPr>
      </w:pP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Conference Call</w:t>
      </w:r>
    </w:p>
    <w:p>
      <w:pPr>
        <w:spacing w:after="0" w:line="104" w:lineRule="exact"/>
        <w:rPr>
          <w:sz w:val="20"/>
          <w:szCs w:val="20"/>
          <w:color w:val="auto"/>
        </w:rPr>
      </w:pPr>
    </w:p>
    <w:p>
      <w:pPr>
        <w:ind w:left="820" w:right="1239"/>
        <w:spacing w:after="0" w:line="284" w:lineRule="auto"/>
        <w:rPr>
          <w:sz w:val="20"/>
          <w:szCs w:val="20"/>
          <w:color w:val="auto"/>
        </w:rPr>
      </w:pPr>
      <w:r>
        <w:rPr>
          <w:rFonts w:ascii="Times New Roman" w:cs="Times New Roman" w:eastAsia="Times New Roman" w:hAnsi="Times New Roman"/>
          <w:sz w:val="17"/>
          <w:szCs w:val="17"/>
          <w:color w:val="auto"/>
        </w:rPr>
        <w:t>Firefly will host a conference call today at 4:00 p.m. CT (5:00 p.m. ET) to discuss its second quarter financial results, as well as provide Firefly’s full year outlook.</w:t>
      </w:r>
    </w:p>
    <w:p>
      <w:pPr>
        <w:spacing w:after="0" w:line="70" w:lineRule="exact"/>
        <w:rPr>
          <w:sz w:val="20"/>
          <w:szCs w:val="20"/>
          <w:color w:val="auto"/>
        </w:rPr>
      </w:pPr>
    </w:p>
    <w:p>
      <w:pPr>
        <w:ind w:left="820" w:right="939"/>
        <w:spacing w:after="0" w:line="284" w:lineRule="auto"/>
        <w:rPr>
          <w:sz w:val="20"/>
          <w:szCs w:val="20"/>
          <w:color w:val="auto"/>
        </w:rPr>
      </w:pPr>
      <w:r>
        <w:rPr>
          <w:rFonts w:ascii="Times New Roman" w:cs="Times New Roman" w:eastAsia="Times New Roman" w:hAnsi="Times New Roman"/>
          <w:sz w:val="17"/>
          <w:szCs w:val="17"/>
          <w:color w:val="auto"/>
        </w:rPr>
        <w:t>The live webcast and accompanying presentation, as well as a replay of the webcast, will be available on Firefly’s Investor Relations website: investors.fireflyspace.com.</w:t>
      </w:r>
    </w:p>
    <w:p>
      <w:pPr>
        <w:spacing w:after="0" w:line="6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color w:val="auto"/>
        </w:rPr>
        <w:t>About Firefly Aerospace</w:t>
      </w:r>
    </w:p>
    <w:p>
      <w:pPr>
        <w:spacing w:after="0" w:line="126" w:lineRule="exact"/>
        <w:rPr>
          <w:sz w:val="20"/>
          <w:szCs w:val="20"/>
          <w:color w:val="auto"/>
        </w:rPr>
      </w:pPr>
    </w:p>
    <w:p>
      <w:pPr>
        <w:ind w:left="820" w:right="859"/>
        <w:spacing w:after="0" w:line="251" w:lineRule="auto"/>
        <w:rPr>
          <w:sz w:val="20"/>
          <w:szCs w:val="20"/>
          <w:color w:val="auto"/>
        </w:rPr>
      </w:pPr>
      <w:r>
        <w:rPr>
          <w:rFonts w:ascii="Times New Roman" w:cs="Times New Roman" w:eastAsia="Times New Roman" w:hAnsi="Times New Roman"/>
          <w:sz w:val="17"/>
          <w:szCs w:val="17"/>
          <w:color w:val="auto"/>
        </w:rPr>
        <w:t>Firefly Aerospace is a space and defense technology company that enables government and commercial customers to launch, land, and operate in space – anywhere, anytime. As the partner of choice for responsive space missions, Firefly is the only commercial company to launch a satellite to orbit with approximately 24-hour notice. Firefly is also the only company to achieve a fully successful landing on the Moon. Established in 2017, Firefly’s engineering, manufacturing, and test facilities are co-located in central Texas to enable rapid innovation. The company’s small- to medium-lift launch vehicles, lunar landers, and orbital vehicles are built with common flight-proven technologies to enable speed, reliability, and cost efficiencies for each mission from low Earth orbit to the Moon and beyond. For more information, visit www.fireflyspace.com. Firefly utilizes its website as a means to distribute material information about the company to the public.</w:t>
      </w:r>
    </w:p>
    <w:p>
      <w:pPr>
        <w:spacing w:after="0" w:line="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38" w:lineRule="exact"/>
        <w:rPr>
          <w:sz w:val="20"/>
          <w:szCs w:val="20"/>
          <w:color w:val="auto"/>
        </w:rPr>
      </w:pPr>
    </w:p>
    <w:p>
      <w:pPr>
        <w:ind w:left="820" w:right="919"/>
        <w:spacing w:after="0" w:line="250" w:lineRule="auto"/>
        <w:rPr>
          <w:sz w:val="20"/>
          <w:szCs w:val="20"/>
          <w:color w:val="auto"/>
        </w:rPr>
      </w:pPr>
      <w:r>
        <w:rPr>
          <w:rFonts w:ascii="Times New Roman" w:cs="Times New Roman" w:eastAsia="Times New Roman" w:hAnsi="Times New Roman"/>
          <w:sz w:val="17"/>
          <w:szCs w:val="17"/>
          <w:color w:val="auto"/>
        </w:rPr>
        <w:t>This press release contains forward-looking statements (including within the meaning of Section 21E of the United States Securities Exchange Act of 1934, as amended, and Section 27A of the United States Securities Act of 1933, as amended) concerning Firefly. Statements included in this press release that are not statements of historical fact, including statements about our expectations, beliefs, plans, strategies, objectives, prospects, assumptions or future events or performance, are forward-looking statements. Forward-looking statements are inherently subject to risks and uncertainties, some of which cannot be predicted or quantified. In some cases, you can identify forward-looking statements by terminology such as “anticipate,” “believe,” “continue,” “could,” “estimate,” “expect,” “intend,” “may,” “might,” “objective,” “ongoing,” “plan,” “predict,” “project,” “potential,” “should,” “will,” “would,” or the negative of these terms or other comparable terminology. In particular, our guidance, outlook and forecasts for full-year 2025, statements about the markets in which we operate, including growth of our various markets, statements about potential new products and product innovation, our ability or expectations to establish new partnerships, our expectations regarding new vehicle launches and 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2127250</wp:posOffset>
            </wp:positionV>
            <wp:extent cx="616839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449580</wp:posOffset>
            </wp:positionV>
            <wp:extent cx="1344295" cy="698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44295" cy="698500"/>
                    </a:xfrm>
                    <a:prstGeom prst="rect">
                      <a:avLst/>
                    </a:prstGeom>
                    <a:noFill/>
                  </pic:spPr>
                </pic:pic>
              </a:graphicData>
            </a:graphic>
          </wp:anchor>
        </w:drawing>
      </w:r>
    </w:p>
    <w:p>
      <w:pPr>
        <w:spacing w:after="0" w:line="360" w:lineRule="exact"/>
        <w:rPr>
          <w:sz w:val="20"/>
          <w:szCs w:val="20"/>
          <w:color w:val="auto"/>
        </w:rPr>
      </w:pPr>
    </w:p>
    <w:p>
      <w:pPr>
        <w:ind w:left="820" w:right="1099"/>
        <w:spacing w:after="0" w:line="284" w:lineRule="auto"/>
        <w:rPr>
          <w:sz w:val="20"/>
          <w:szCs w:val="20"/>
          <w:color w:val="auto"/>
        </w:rPr>
      </w:pPr>
      <w:r>
        <w:rPr>
          <w:rFonts w:ascii="Times New Roman" w:cs="Times New Roman" w:eastAsia="Times New Roman" w:hAnsi="Times New Roman"/>
          <w:sz w:val="17"/>
          <w:szCs w:val="17"/>
          <w:color w:val="auto"/>
        </w:rPr>
        <w:t>timelines, and our ability to retain existing customers and maintain their bookings are forward-looking statements. Accordingly, undue reliance should not be placed on such statements.</w:t>
      </w:r>
    </w:p>
    <w:p>
      <w:pPr>
        <w:spacing w:after="0" w:line="70" w:lineRule="exact"/>
        <w:rPr>
          <w:sz w:val="20"/>
          <w:szCs w:val="20"/>
          <w:color w:val="auto"/>
        </w:rPr>
      </w:pPr>
    </w:p>
    <w:p>
      <w:pPr>
        <w:ind w:left="820" w:right="859"/>
        <w:spacing w:after="0" w:line="253" w:lineRule="auto"/>
        <w:rPr>
          <w:sz w:val="20"/>
          <w:szCs w:val="20"/>
          <w:color w:val="auto"/>
        </w:rPr>
      </w:pPr>
      <w:r>
        <w:rPr>
          <w:rFonts w:ascii="Times New Roman" w:cs="Times New Roman" w:eastAsia="Times New Roman" w:hAnsi="Times New Roman"/>
          <w:sz w:val="17"/>
          <w:szCs w:val="17"/>
          <w:color w:val="auto"/>
        </w:rPr>
        <w:t>Various risks that could cause actual results to differ from those expressed by the forward-looking statements included in this press release include, but are not limited to: our failure to manage our growth effectively and our ability to achieve and maintain profitability; the potential for delayed or failed launches, and any failure of our launch vehicles and spacecraft to operate as intended; our inability to manufacture our launch vehicles, landers, or orbital vehicles at a quantity and quality that our customers demand; the hazards and operational risks that our products and service offerings are exposed to, including the wide and unique range of risks due to the unpredictability of space; the market for commercial launch services for small- and medium-sized payloads not achieving the growth potential we expect; our dependence on contracts entered into in the ordinary course of business and our dependence on major customers and vendors; a loss of, or default by, one or more of our major customers, or a material adverse change in any such customer’s business or financial condition, could materially reduce our revenues and backlog; uncertain global macro-economic and political conditions, including the implementation of tariffs; disruptions in U.S. government operations and funding and budgetary priorities of the U.S. government; the failure of our information technology systems, physical or electronic security protections; the inability to operate Alpha at our anticipated launch rate (including due to potential regulatory delays) or finalize the development and delivery of Eclipse; our failure to establish and maintain important relationships with government agencies and prime contractors; the inability to realize our backlog; evolving government laws and regulations; our ability to remediate the material weakness with respect to our internal control over financial reporting and disclosure controls and procedures; our ability to implement and maintain effective internal control over financial reporting in the future; and other factors set forth in our filings with the Securities and Exchange Commission. You should not place undue reliance on these forward-looking statements, which speak only as of the date stated, or if no date is stated, as of the date of this press release. Actual results may vary from the estimates provided. We undertake no intent or obligation to publicly update or revise any of the estimates and other forward-looking statements made in this announcement,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3187700</wp:posOffset>
            </wp:positionV>
            <wp:extent cx="6168390"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449580</wp:posOffset>
            </wp:positionV>
            <wp:extent cx="1344295" cy="698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44295" cy="698500"/>
                    </a:xfrm>
                    <a:prstGeom prst="rect">
                      <a:avLst/>
                    </a:prstGeom>
                    <a:noFill/>
                  </pic:spPr>
                </pic:pic>
              </a:graphicData>
            </a:graphic>
          </wp:anchor>
        </w:drawing>
      </w:r>
    </w:p>
    <w:p>
      <w:pPr>
        <w:spacing w:after="0" w:line="3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color w:val="auto"/>
        </w:rPr>
        <w:t>Use of Non-GAAP Financial Measures</w:t>
      </w:r>
    </w:p>
    <w:p>
      <w:pPr>
        <w:spacing w:after="0" w:line="138" w:lineRule="exact"/>
        <w:rPr>
          <w:sz w:val="20"/>
          <w:szCs w:val="20"/>
          <w:color w:val="auto"/>
        </w:rPr>
      </w:pPr>
    </w:p>
    <w:p>
      <w:pPr>
        <w:ind w:left="820" w:right="899"/>
        <w:spacing w:after="0" w:line="250" w:lineRule="auto"/>
        <w:rPr>
          <w:sz w:val="20"/>
          <w:szCs w:val="20"/>
          <w:color w:val="auto"/>
        </w:rPr>
      </w:pPr>
      <w:r>
        <w:rPr>
          <w:rFonts w:ascii="Times New Roman" w:cs="Times New Roman" w:eastAsia="Times New Roman" w:hAnsi="Times New Roman"/>
          <w:sz w:val="17"/>
          <w:szCs w:val="17"/>
          <w:color w:val="auto"/>
        </w:rPr>
        <w:t>Adjusted EBITDA, Non-GAAP Operating Expenses, Non-GAAP Research and Development, Non-GAAP Selling, General, and Administrative, Non-GAAP Other Expense, and Free Cash Flow are non-GAAP financial measures. These non-GAAP measures should not be considered as a substitute for, or superior to, measures of financial performance prepared in accordance with U.S. GAAP. A reconciliation of each non-GAAP financial measure to the most directly comparable financial measure prepared in accordance with U.S. GAAP is included in the supplemental financial data attached to this press release. Non-GAAP financial measures have important limitations as analytical tools and should not be considered in isolation or as a substitute for analyses of Firefly’s performance or cash flows as reported under U.S. GAAP. Non-GAAP financial measures may be defined differently by other companies in our industry and may not be comparable to similarly titled measures of other companies, thereby diminishing their utility.</w:t>
      </w:r>
    </w:p>
    <w:p>
      <w:pPr>
        <w:spacing w:after="0" w:line="294" w:lineRule="exact"/>
        <w:rPr>
          <w:sz w:val="20"/>
          <w:szCs w:val="20"/>
          <w:color w:val="auto"/>
        </w:rPr>
      </w:pPr>
    </w:p>
    <w:p>
      <w:pPr>
        <w:ind w:left="820" w:right="859"/>
        <w:spacing w:after="0" w:line="259" w:lineRule="auto"/>
        <w:rPr>
          <w:sz w:val="20"/>
          <w:szCs w:val="20"/>
          <w:color w:val="auto"/>
        </w:rPr>
      </w:pPr>
      <w:r>
        <w:rPr>
          <w:rFonts w:ascii="Times New Roman" w:cs="Times New Roman" w:eastAsia="Times New Roman" w:hAnsi="Times New Roman"/>
          <w:sz w:val="17"/>
          <w:szCs w:val="17"/>
          <w:color w:val="auto"/>
        </w:rPr>
        <w:t>Firefly believes non-GAAP financial information provides additional insight into the Company’s ongoing performance. Therefore, Firefly provides this information to investors for a more consistent basis of comparison and to help them evaluate the Company’s ongoing performance and liquidity and to enable more meaningful period to period comparisons.</w:t>
      </w:r>
    </w:p>
    <w:p>
      <w:pPr>
        <w:spacing w:after="0" w:line="8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i w:val="1"/>
          <w:iCs w:val="1"/>
          <w:color w:val="auto"/>
        </w:rPr>
        <w:t>Adjusted EBITDA</w:t>
      </w:r>
    </w:p>
    <w:p>
      <w:pPr>
        <w:spacing w:after="0" w:line="140" w:lineRule="exact"/>
        <w:rPr>
          <w:sz w:val="20"/>
          <w:szCs w:val="20"/>
          <w:color w:val="auto"/>
        </w:rPr>
      </w:pPr>
    </w:p>
    <w:p>
      <w:pPr>
        <w:ind w:left="820" w:right="1059"/>
        <w:spacing w:after="0" w:line="256" w:lineRule="auto"/>
        <w:rPr>
          <w:sz w:val="20"/>
          <w:szCs w:val="20"/>
          <w:color w:val="auto"/>
        </w:rPr>
      </w:pPr>
      <w:r>
        <w:rPr>
          <w:rFonts w:ascii="Times New Roman" w:cs="Times New Roman" w:eastAsia="Times New Roman" w:hAnsi="Times New Roman"/>
          <w:sz w:val="17"/>
          <w:szCs w:val="17"/>
          <w:color w:val="auto"/>
        </w:rPr>
        <w:t>We define Adjusted EBITDA as net loss adjusted for interest expense, net, provision for income taxes, depreciation and amortization, stock-based compensation expense, the change in fair value of warrant liabilities, loss on disposal of fixed assets, transaction costs, and other expenses. In addition to net loss, we use Adjusted EBITDA to evaluate our business, measure its performance, and make strategic decisions.</w:t>
      </w:r>
    </w:p>
    <w:p>
      <w:pPr>
        <w:spacing w:after="0" w:line="81" w:lineRule="exact"/>
        <w:rPr>
          <w:sz w:val="20"/>
          <w:szCs w:val="20"/>
          <w:color w:val="auto"/>
        </w:rPr>
      </w:pPr>
    </w:p>
    <w:p>
      <w:pPr>
        <w:ind w:left="820" w:right="859"/>
        <w:spacing w:after="0" w:line="254" w:lineRule="auto"/>
        <w:rPr>
          <w:sz w:val="20"/>
          <w:szCs w:val="20"/>
          <w:color w:val="auto"/>
        </w:rPr>
      </w:pPr>
      <w:r>
        <w:rPr>
          <w:rFonts w:ascii="Times New Roman" w:cs="Times New Roman" w:eastAsia="Times New Roman" w:hAnsi="Times New Roman"/>
          <w:sz w:val="17"/>
          <w:szCs w:val="17"/>
          <w:color w:val="auto"/>
        </w:rPr>
        <w:t>We believe that Adjusted EBITDA provides useful information to management, investors, and analysts in assessing our financial performance and results of operations across reporting periods by excluding items we do not believe are indicative of our core operating performance. Net loss is the U.S. GAAP measure most directly comparable to Adjusted EBITDA. Adjusted EBITDA should not be considered as an alternative to net loss. Our presentation of Adjusted EBITDA should not be construed as an inference that our future results will be unaffected by unusual or non-recurring items.</w:t>
      </w:r>
    </w:p>
    <w:p>
      <w:pPr>
        <w:spacing w:after="0" w:line="9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i w:val="1"/>
          <w:iCs w:val="1"/>
          <w:color w:val="auto"/>
        </w:rPr>
        <w:t>Non-GAAP Operating Expenses</w:t>
      </w:r>
    </w:p>
    <w:p>
      <w:pPr>
        <w:spacing w:after="0" w:line="140" w:lineRule="exact"/>
        <w:rPr>
          <w:sz w:val="20"/>
          <w:szCs w:val="20"/>
          <w:color w:val="auto"/>
        </w:rPr>
      </w:pPr>
    </w:p>
    <w:p>
      <w:pPr>
        <w:ind w:left="820" w:right="879"/>
        <w:spacing w:after="0" w:line="265" w:lineRule="auto"/>
        <w:rPr>
          <w:sz w:val="20"/>
          <w:szCs w:val="20"/>
          <w:color w:val="auto"/>
        </w:rPr>
      </w:pPr>
      <w:r>
        <w:rPr>
          <w:rFonts w:ascii="Times New Roman" w:cs="Times New Roman" w:eastAsia="Times New Roman" w:hAnsi="Times New Roman"/>
          <w:sz w:val="17"/>
          <w:szCs w:val="17"/>
          <w:color w:val="auto"/>
        </w:rPr>
        <w:t>We define Non-GAAP Operating Expenses as operating expenses, less stock-based compensation expense, one-time costs related to the IPO, and loss on disposal of fixed assets. Management believes this non-GAAP measure provides investors with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2120265</wp:posOffset>
            </wp:positionV>
            <wp:extent cx="616839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449580</wp:posOffset>
            </wp:positionV>
            <wp:extent cx="1344295" cy="698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44295" cy="698500"/>
                    </a:xfrm>
                    <a:prstGeom prst="rect">
                      <a:avLst/>
                    </a:prstGeom>
                    <a:noFill/>
                  </pic:spPr>
                </pic:pic>
              </a:graphicData>
            </a:graphic>
          </wp:anchor>
        </w:drawing>
      </w:r>
    </w:p>
    <w:p>
      <w:pPr>
        <w:spacing w:after="0" w:line="360" w:lineRule="exact"/>
        <w:rPr>
          <w:sz w:val="20"/>
          <w:szCs w:val="20"/>
          <w:color w:val="auto"/>
        </w:rPr>
      </w:pPr>
    </w:p>
    <w:p>
      <w:pPr>
        <w:ind w:left="820" w:right="1519"/>
        <w:spacing w:after="0" w:line="284" w:lineRule="auto"/>
        <w:rPr>
          <w:sz w:val="20"/>
          <w:szCs w:val="20"/>
          <w:color w:val="auto"/>
        </w:rPr>
      </w:pPr>
      <w:r>
        <w:rPr>
          <w:rFonts w:ascii="Times New Roman" w:cs="Times New Roman" w:eastAsia="Times New Roman" w:hAnsi="Times New Roman"/>
          <w:sz w:val="17"/>
          <w:szCs w:val="17"/>
          <w:color w:val="auto"/>
        </w:rPr>
        <w:t>insight into results from ongoing operations by excluding items of income or loss to present it in accordance with how management manages the business.</w:t>
      </w:r>
    </w:p>
    <w:p>
      <w:pPr>
        <w:spacing w:after="0" w:line="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i w:val="1"/>
          <w:iCs w:val="1"/>
          <w:color w:val="auto"/>
        </w:rPr>
        <w:t>Non-GAAP Research and Development</w:t>
      </w:r>
    </w:p>
    <w:p>
      <w:pPr>
        <w:spacing w:after="0" w:line="128" w:lineRule="exact"/>
        <w:rPr>
          <w:sz w:val="20"/>
          <w:szCs w:val="20"/>
          <w:color w:val="auto"/>
        </w:rPr>
      </w:pPr>
    </w:p>
    <w:p>
      <w:pPr>
        <w:ind w:left="820" w:right="859"/>
        <w:spacing w:after="0" w:line="259" w:lineRule="auto"/>
        <w:rPr>
          <w:sz w:val="20"/>
          <w:szCs w:val="20"/>
          <w:color w:val="auto"/>
        </w:rPr>
      </w:pPr>
      <w:r>
        <w:rPr>
          <w:rFonts w:ascii="Times New Roman" w:cs="Times New Roman" w:eastAsia="Times New Roman" w:hAnsi="Times New Roman"/>
          <w:sz w:val="17"/>
          <w:szCs w:val="17"/>
          <w:color w:val="auto"/>
        </w:rPr>
        <w:t>We define Non-GAAP Research and Development as research and development less stock-based compensation expense. Management believes this non-GAAP measure provides investors with meaningful insight into results from ongoing operations by excluding items of income or loss to present it in accordance with how management manages the business.</w:t>
      </w:r>
    </w:p>
    <w:p>
      <w:pPr>
        <w:spacing w:after="0" w:line="8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i w:val="1"/>
          <w:iCs w:val="1"/>
          <w:color w:val="auto"/>
        </w:rPr>
        <w:t>Non-GAAP Selling, General, and Administrative</w:t>
      </w:r>
    </w:p>
    <w:p>
      <w:pPr>
        <w:spacing w:after="0" w:line="140" w:lineRule="exact"/>
        <w:rPr>
          <w:sz w:val="20"/>
          <w:szCs w:val="20"/>
          <w:color w:val="auto"/>
        </w:rPr>
      </w:pPr>
    </w:p>
    <w:p>
      <w:pPr>
        <w:ind w:left="820" w:right="899"/>
        <w:spacing w:after="0" w:line="257" w:lineRule="auto"/>
        <w:rPr>
          <w:sz w:val="20"/>
          <w:szCs w:val="20"/>
          <w:color w:val="auto"/>
        </w:rPr>
      </w:pPr>
      <w:r>
        <w:rPr>
          <w:rFonts w:ascii="Times New Roman" w:cs="Times New Roman" w:eastAsia="Times New Roman" w:hAnsi="Times New Roman"/>
          <w:sz w:val="17"/>
          <w:szCs w:val="17"/>
          <w:color w:val="auto"/>
        </w:rPr>
        <w:t>We define Non-GAAP Selling, General and Administrative as selling, general and administrative less stock-based compensation expense and one-time costs related to the IPO. Management believes this non-GAAP measure provides investors with meaningful insight into results from ongoing operations by excluding items of income or loss to present it in accordance with how management manages the business.</w:t>
      </w:r>
    </w:p>
    <w:p>
      <w:pPr>
        <w:spacing w:after="0" w:line="2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i w:val="1"/>
          <w:iCs w:val="1"/>
          <w:color w:val="auto"/>
        </w:rPr>
        <w:t>Non-GAAP Other Expense</w:t>
      </w:r>
    </w:p>
    <w:p>
      <w:pPr>
        <w:spacing w:after="0" w:line="140" w:lineRule="exact"/>
        <w:rPr>
          <w:sz w:val="20"/>
          <w:szCs w:val="20"/>
          <w:color w:val="auto"/>
        </w:rPr>
      </w:pPr>
    </w:p>
    <w:p>
      <w:pPr>
        <w:ind w:left="820" w:right="899"/>
        <w:spacing w:after="0" w:line="259" w:lineRule="auto"/>
        <w:rPr>
          <w:sz w:val="20"/>
          <w:szCs w:val="20"/>
          <w:color w:val="auto"/>
        </w:rPr>
      </w:pPr>
      <w:r>
        <w:rPr>
          <w:rFonts w:ascii="Times New Roman" w:cs="Times New Roman" w:eastAsia="Times New Roman" w:hAnsi="Times New Roman"/>
          <w:sz w:val="17"/>
          <w:szCs w:val="17"/>
          <w:color w:val="auto"/>
        </w:rPr>
        <w:t>We define Non-GAAP Other Expense as other expense less change in fair value of warrant liabilities and certain other items that are not expected to recur in the future. Management believes this non-GAAP measure provides investors with meaningful insight into results from ongoing operations by excluding items of income or loss to present it in accordance with how management manages the business.</w:t>
      </w:r>
    </w:p>
    <w:p>
      <w:pPr>
        <w:spacing w:after="0" w:line="8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i w:val="1"/>
          <w:iCs w:val="1"/>
          <w:color w:val="auto"/>
        </w:rPr>
        <w:t>Free Cash Flow</w:t>
      </w:r>
    </w:p>
    <w:p>
      <w:pPr>
        <w:spacing w:after="0" w:line="128" w:lineRule="exact"/>
        <w:rPr>
          <w:sz w:val="20"/>
          <w:szCs w:val="20"/>
          <w:color w:val="auto"/>
        </w:rPr>
      </w:pPr>
    </w:p>
    <w:p>
      <w:pPr>
        <w:ind w:left="820" w:right="879"/>
        <w:spacing w:after="0" w:line="256" w:lineRule="auto"/>
        <w:rPr>
          <w:sz w:val="20"/>
          <w:szCs w:val="20"/>
          <w:color w:val="auto"/>
        </w:rPr>
      </w:pPr>
      <w:r>
        <w:rPr>
          <w:rFonts w:ascii="Times New Roman" w:cs="Times New Roman" w:eastAsia="Times New Roman" w:hAnsi="Times New Roman"/>
          <w:sz w:val="17"/>
          <w:szCs w:val="17"/>
          <w:color w:val="auto"/>
        </w:rPr>
        <w:t>We define Free Cash Flow as net cash used in operating activities, less purchases of property and equipment. We believe that Free Cash Flow is a meaningful indicator of liquidity that provides information to management and investors about the amount of cash generated from or used in operations that, after purchases of property and equipment, can be used for strategic initiatives, including continuous investment in our business and strengthening our balance sheet.</w:t>
      </w:r>
    </w:p>
    <w:p>
      <w:pPr>
        <w:spacing w:after="0" w:line="93" w:lineRule="exact"/>
        <w:rPr>
          <w:sz w:val="20"/>
          <w:szCs w:val="20"/>
          <w:color w:val="auto"/>
        </w:rPr>
      </w:pPr>
    </w:p>
    <w:p>
      <w:pPr>
        <w:ind w:left="820" w:right="819"/>
        <w:spacing w:after="0" w:line="259" w:lineRule="auto"/>
        <w:rPr>
          <w:sz w:val="20"/>
          <w:szCs w:val="20"/>
          <w:color w:val="auto"/>
        </w:rPr>
      </w:pPr>
      <w:r>
        <w:rPr>
          <w:rFonts w:ascii="Times New Roman" w:cs="Times New Roman" w:eastAsia="Times New Roman" w:hAnsi="Times New Roman"/>
          <w:sz w:val="17"/>
          <w:szCs w:val="17"/>
          <w:color w:val="auto"/>
        </w:rPr>
        <w:t>Free Cash Flow has limitations as a liquidity measure, and you should not consider it in isolation or as a substitute for analysis of our cash flows as reported under U.S. GAAP. Free Cash Flow may be affected in the near to medium term by the timing of capital investments, fluctuations in our growth and the effect of such fluctuations on working capital, and changes in our cash conversion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2475865</wp:posOffset>
            </wp:positionV>
            <wp:extent cx="616839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449580</wp:posOffset>
            </wp:positionV>
            <wp:extent cx="1344295" cy="698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344295" cy="698500"/>
                    </a:xfrm>
                    <a:prstGeom prst="rect">
                      <a:avLst/>
                    </a:prstGeom>
                    <a:noFill/>
                  </pic:spPr>
                </pic:pic>
              </a:graphicData>
            </a:graphic>
          </wp:anchor>
        </w:drawing>
      </w:r>
    </w:p>
    <w:p>
      <w:pPr>
        <w:spacing w:after="0" w:line="3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color w:val="auto"/>
        </w:rPr>
        <w:t>Contacts</w:t>
      </w:r>
    </w:p>
    <w:p>
      <w:pPr>
        <w:spacing w:after="0" w:line="13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Media Relations</w:t>
      </w:r>
    </w:p>
    <w:p>
      <w:pPr>
        <w:spacing w:after="0" w:line="2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467886"/>
        </w:rPr>
        <w:t>press@fireflyspace.com</w:t>
      </w:r>
    </w:p>
    <w:p>
      <w:pPr>
        <w:spacing w:after="0" w:line="10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Investor Relations</w:t>
      </w:r>
    </w:p>
    <w:p>
      <w:pPr>
        <w:spacing w:after="0" w:line="2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467886"/>
        </w:rPr>
        <w:t>investors@fireflyspace.com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5991860</wp:posOffset>
            </wp:positionV>
            <wp:extent cx="616839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line="3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449580</wp:posOffset>
            </wp:positionV>
            <wp:extent cx="1344295" cy="698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344295" cy="69850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NET LOSS AND COMPREHENSIVE</w:t>
      </w:r>
    </w:p>
    <w:p>
      <w:pPr>
        <w:spacing w:after="0" w:line="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LOSS</w:t>
      </w:r>
    </w:p>
    <w:p>
      <w:pPr>
        <w:spacing w:after="0" w:line="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(unaudited; in thousands, except per share amounts)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5"/>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For the Three Months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80" w:type="dxa"/>
            <w:vAlign w:val="bottom"/>
            <w:gridSpan w:val="6"/>
          </w:tcPr>
          <w:p>
            <w:pPr>
              <w:jc w:val="right"/>
              <w:ind w:right="1559"/>
              <w:spacing w:after="0"/>
              <w:rPr>
                <w:sz w:val="20"/>
                <w:szCs w:val="20"/>
                <w:color w:val="auto"/>
              </w:rPr>
            </w:pPr>
            <w:r>
              <w:rPr>
                <w:rFonts w:ascii="Times New Roman" w:cs="Times New Roman" w:eastAsia="Times New Roman" w:hAnsi="Times New Roman"/>
                <w:sz w:val="12"/>
                <w:szCs w:val="12"/>
                <w:b w:val="1"/>
                <w:bCs w:val="1"/>
                <w:color w:val="auto"/>
              </w:rPr>
              <w:t>For the Six Months</w:t>
            </w:r>
          </w:p>
        </w:tc>
        <w:tc>
          <w:tcPr>
            <w:tcW w:w="0" w:type="dxa"/>
            <w:vAlign w:val="bottom"/>
          </w:tcPr>
          <w:p>
            <w:pPr>
              <w:spacing w:after="0"/>
              <w:rPr>
                <w:sz w:val="1"/>
                <w:szCs w:val="1"/>
                <w:color w:val="auto"/>
              </w:rPr>
            </w:pPr>
          </w:p>
        </w:tc>
      </w:tr>
      <w:tr>
        <w:trPr>
          <w:trHeight w:val="143"/>
        </w:trPr>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5"/>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Ended June 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80" w:type="dxa"/>
            <w:vAlign w:val="bottom"/>
            <w:gridSpan w:val="6"/>
          </w:tcPr>
          <w:p>
            <w:pPr>
              <w:jc w:val="right"/>
              <w:ind w:right="1659"/>
              <w:spacing w:after="0"/>
              <w:rPr>
                <w:sz w:val="20"/>
                <w:szCs w:val="20"/>
                <w:color w:val="auto"/>
              </w:rPr>
            </w:pPr>
            <w:r>
              <w:rPr>
                <w:rFonts w:ascii="Times New Roman" w:cs="Times New Roman" w:eastAsia="Times New Roman" w:hAnsi="Times New Roman"/>
                <w:sz w:val="12"/>
                <w:szCs w:val="12"/>
                <w:b w:val="1"/>
                <w:bCs w:val="1"/>
                <w:color w:val="auto"/>
              </w:rPr>
              <w:t>Ended June 30,</w:t>
            </w:r>
          </w:p>
        </w:tc>
        <w:tc>
          <w:tcPr>
            <w:tcW w:w="0" w:type="dxa"/>
            <w:vAlign w:val="bottom"/>
          </w:tcPr>
          <w:p>
            <w:pPr>
              <w:spacing w:after="0"/>
              <w:rPr>
                <w:sz w:val="1"/>
                <w:szCs w:val="1"/>
                <w:color w:val="auto"/>
              </w:rPr>
            </w:pPr>
          </w:p>
        </w:tc>
      </w:tr>
      <w:tr>
        <w:trPr>
          <w:trHeight w:val="122"/>
        </w:trPr>
        <w:tc>
          <w:tcPr>
            <w:tcW w:w="4840" w:type="dxa"/>
            <w:vAlign w:val="bottom"/>
            <w:vMerge w:val="restart"/>
          </w:tcPr>
          <w:p>
            <w:pPr>
              <w:ind w:left="1160"/>
              <w:spacing w:after="0"/>
              <w:rPr>
                <w:sz w:val="20"/>
                <w:szCs w:val="20"/>
                <w:color w:val="auto"/>
              </w:rPr>
            </w:pPr>
            <w:r>
              <w:rPr>
                <w:rFonts w:ascii="Times New Roman" w:cs="Times New Roman" w:eastAsia="Times New Roman" w:hAnsi="Times New Roman"/>
                <w:sz w:val="12"/>
                <w:szCs w:val="12"/>
                <w:color w:val="auto"/>
              </w:rPr>
              <w:t>Revenue</w:t>
            </w:r>
          </w:p>
        </w:tc>
        <w:tc>
          <w:tcPr>
            <w:tcW w:w="14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81"/>
              <w:spacing w:after="0" w:line="122" w:lineRule="exact"/>
              <w:rPr>
                <w:sz w:val="20"/>
                <w:szCs w:val="20"/>
                <w:color w:val="auto"/>
              </w:rPr>
            </w:pPr>
            <w:r>
              <w:rPr>
                <w:rFonts w:ascii="Times New Roman" w:cs="Times New Roman" w:eastAsia="Times New Roman" w:hAnsi="Times New Roman"/>
                <w:sz w:val="12"/>
                <w:szCs w:val="12"/>
                <w:b w:val="1"/>
                <w:bCs w:val="1"/>
                <w:color w:val="auto"/>
              </w:rPr>
              <w:t>2025</w:t>
            </w: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81"/>
              <w:spacing w:after="0" w:line="122" w:lineRule="exact"/>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81"/>
              <w:spacing w:after="0" w:line="122" w:lineRule="exact"/>
              <w:rPr>
                <w:sz w:val="20"/>
                <w:szCs w:val="20"/>
                <w:color w:val="auto"/>
              </w:rPr>
            </w:pPr>
            <w:r>
              <w:rPr>
                <w:rFonts w:ascii="Times New Roman" w:cs="Times New Roman" w:eastAsia="Times New Roman" w:hAnsi="Times New Roman"/>
                <w:sz w:val="12"/>
                <w:szCs w:val="12"/>
                <w:b w:val="1"/>
                <w:bCs w:val="1"/>
                <w:color w:val="auto"/>
              </w:rPr>
              <w:t>2025</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81"/>
              <w:spacing w:after="0" w:line="122" w:lineRule="exact"/>
              <w:rPr>
                <w:sz w:val="20"/>
                <w:szCs w:val="20"/>
                <w:color w:val="auto"/>
              </w:rPr>
            </w:pPr>
            <w:r>
              <w:rPr>
                <w:rFonts w:ascii="Times New Roman" w:cs="Times New Roman" w:eastAsia="Times New Roman" w:hAnsi="Times New Roman"/>
                <w:sz w:val="12"/>
                <w:szCs w:val="12"/>
                <w:b w:val="1"/>
                <w:bCs w:val="1"/>
                <w:color w:val="auto"/>
              </w:rPr>
              <w:t>2024</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4840" w:type="dxa"/>
            <w:vAlign w:val="bottom"/>
            <w:vMerge w:val="continue"/>
          </w:tcPr>
          <w:p>
            <w:pPr>
              <w:spacing w:after="0"/>
              <w:rPr>
                <w:sz w:val="9"/>
                <w:szCs w:val="9"/>
                <w:color w:val="auto"/>
              </w:rPr>
            </w:pPr>
          </w:p>
        </w:tc>
        <w:tc>
          <w:tcPr>
            <w:tcW w:w="140" w:type="dxa"/>
            <w:vAlign w:val="bottom"/>
          </w:tcPr>
          <w:p>
            <w:pPr>
              <w:jc w:val="right"/>
              <w:ind w:right="27"/>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15,549</w:t>
            </w:r>
          </w:p>
        </w:tc>
        <w:tc>
          <w:tcPr>
            <w:tcW w:w="260" w:type="dxa"/>
            <w:vAlign w:val="bottom"/>
          </w:tcPr>
          <w:p>
            <w:pPr>
              <w:spacing w:after="0"/>
              <w:rPr>
                <w:sz w:val="9"/>
                <w:szCs w:val="9"/>
                <w:color w:val="auto"/>
              </w:rPr>
            </w:pPr>
          </w:p>
        </w:tc>
        <w:tc>
          <w:tcPr>
            <w:tcW w:w="160" w:type="dxa"/>
            <w:vAlign w:val="bottom"/>
          </w:tcPr>
          <w:p>
            <w:pPr>
              <w:jc w:val="right"/>
              <w:ind w:right="47"/>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21,071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jc w:val="right"/>
              <w:ind w:right="47"/>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71,404</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jc w:val="right"/>
              <w:ind w:right="27"/>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29,388</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4840" w:type="dxa"/>
            <w:vAlign w:val="bottom"/>
          </w:tcPr>
          <w:p>
            <w:pPr>
              <w:ind w:left="1160"/>
              <w:spacing w:after="0"/>
              <w:rPr>
                <w:sz w:val="20"/>
                <w:szCs w:val="20"/>
                <w:color w:val="auto"/>
              </w:rPr>
            </w:pPr>
            <w:r>
              <w:rPr>
                <w:rFonts w:ascii="Times New Roman" w:cs="Times New Roman" w:eastAsia="Times New Roman" w:hAnsi="Times New Roman"/>
                <w:sz w:val="12"/>
                <w:szCs w:val="12"/>
                <w:color w:val="auto"/>
              </w:rPr>
              <w:t>Cost of sales</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11,554</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18,120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65,189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28,360</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4840" w:type="dxa"/>
            <w:vAlign w:val="bottom"/>
          </w:tcPr>
          <w:p>
            <w:pPr>
              <w:ind w:left="1160"/>
              <w:spacing w:after="0" w:line="109" w:lineRule="exact"/>
              <w:rPr>
                <w:sz w:val="20"/>
                <w:szCs w:val="20"/>
                <w:color w:val="auto"/>
              </w:rPr>
            </w:pPr>
            <w:r>
              <w:rPr>
                <w:rFonts w:ascii="Times New Roman" w:cs="Times New Roman" w:eastAsia="Times New Roman" w:hAnsi="Times New Roman"/>
                <w:sz w:val="12"/>
                <w:szCs w:val="12"/>
                <w:b w:val="1"/>
                <w:bCs w:val="1"/>
                <w:color w:val="auto"/>
              </w:rPr>
              <w:t>Gross profit</w:t>
            </w:r>
          </w:p>
        </w:tc>
        <w:tc>
          <w:tcPr>
            <w:tcW w:w="14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3,995</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2,951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6,215</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1,028</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840" w:type="dxa"/>
            <w:vAlign w:val="bottom"/>
          </w:tcPr>
          <w:p>
            <w:pPr>
              <w:ind w:left="1160"/>
              <w:spacing w:after="0" w:line="132"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84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Research and development</w:t>
            </w:r>
          </w:p>
        </w:tc>
        <w:tc>
          <w:tcPr>
            <w:tcW w:w="14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45,774</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39,544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93,786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77,179</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84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Selling, general, and administrative</w:t>
            </w:r>
          </w:p>
        </w:tc>
        <w:tc>
          <w:tcPr>
            <w:tcW w:w="14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12,571</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12,288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25,323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21,868</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84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Loss on disposal of fixed assets</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19"/>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840" w:type="dxa"/>
            <w:vAlign w:val="bottom"/>
          </w:tcPr>
          <w:p>
            <w:pPr>
              <w:ind w:left="1320"/>
              <w:spacing w:after="0" w:line="122" w:lineRule="exact"/>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14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58,345</w:t>
            </w:r>
          </w:p>
        </w:tc>
        <w:tc>
          <w:tcPr>
            <w:tcW w:w="26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51,851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119,109</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99,069</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840" w:type="dxa"/>
            <w:vAlign w:val="bottom"/>
          </w:tcPr>
          <w:p>
            <w:pPr>
              <w:ind w:left="1160"/>
              <w:spacing w:after="0" w:line="109" w:lineRule="exact"/>
              <w:rPr>
                <w:sz w:val="20"/>
                <w:szCs w:val="20"/>
                <w:color w:val="auto"/>
              </w:rPr>
            </w:pPr>
            <w:r>
              <w:rPr>
                <w:rFonts w:ascii="Times New Roman" w:cs="Times New Roman" w:eastAsia="Times New Roman" w:hAnsi="Times New Roman"/>
                <w:sz w:val="12"/>
                <w:szCs w:val="12"/>
                <w:b w:val="1"/>
                <w:bCs w:val="1"/>
                <w:color w:val="auto"/>
              </w:rPr>
              <w:t>Loss from operations</w:t>
            </w:r>
          </w:p>
        </w:tc>
        <w:tc>
          <w:tcPr>
            <w:tcW w:w="14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(54,350)</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(48,900)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(112,894)</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(98,041)</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840" w:type="dxa"/>
            <w:vAlign w:val="bottom"/>
          </w:tcPr>
          <w:p>
            <w:pPr>
              <w:ind w:left="1160"/>
              <w:spacing w:after="0" w:line="132" w:lineRule="exact"/>
              <w:rPr>
                <w:sz w:val="20"/>
                <w:szCs w:val="20"/>
                <w:color w:val="auto"/>
              </w:rPr>
            </w:pPr>
            <w:r>
              <w:rPr>
                <w:rFonts w:ascii="Times New Roman" w:cs="Times New Roman" w:eastAsia="Times New Roman" w:hAnsi="Times New Roman"/>
                <w:sz w:val="12"/>
                <w:szCs w:val="12"/>
                <w:b w:val="1"/>
                <w:bCs w:val="1"/>
                <w:color w:val="auto"/>
              </w:rPr>
              <w:t>Other expense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84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Interest expense, net</w:t>
            </w:r>
          </w:p>
        </w:tc>
        <w:tc>
          <w:tcPr>
            <w:tcW w:w="140" w:type="dxa"/>
            <w:vAlign w:val="bottom"/>
          </w:tcPr>
          <w:p>
            <w:pPr>
              <w:spacing w:after="0"/>
              <w:rPr>
                <w:sz w:val="11"/>
                <w:szCs w:val="11"/>
                <w:color w:val="auto"/>
              </w:rPr>
            </w:pPr>
          </w:p>
        </w:tc>
        <w:tc>
          <w:tcPr>
            <w:tcW w:w="84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2"/>
                <w:szCs w:val="12"/>
                <w:color w:val="auto"/>
              </w:rPr>
              <w:t>(5,237)</w:t>
            </w: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(3,738)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79"/>
              <w:spacing w:after="0" w:line="130" w:lineRule="exact"/>
              <w:rPr>
                <w:sz w:val="20"/>
                <w:szCs w:val="20"/>
                <w:color w:val="auto"/>
              </w:rPr>
            </w:pPr>
            <w:r>
              <w:rPr>
                <w:rFonts w:ascii="Times New Roman" w:cs="Times New Roman" w:eastAsia="Times New Roman" w:hAnsi="Times New Roman"/>
                <w:sz w:val="12"/>
                <w:szCs w:val="12"/>
                <w:color w:val="auto"/>
              </w:rPr>
              <w:t>(10,401)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gridSpan w:val="2"/>
          </w:tcPr>
          <w:p>
            <w:pPr>
              <w:jc w:val="right"/>
              <w:ind w:right="1139"/>
              <w:spacing w:after="0" w:line="130" w:lineRule="exact"/>
              <w:rPr>
                <w:sz w:val="20"/>
                <w:szCs w:val="20"/>
                <w:color w:val="auto"/>
              </w:rPr>
            </w:pPr>
            <w:r>
              <w:rPr>
                <w:rFonts w:ascii="Times New Roman" w:cs="Times New Roman" w:eastAsia="Times New Roman" w:hAnsi="Times New Roman"/>
                <w:sz w:val="12"/>
                <w:szCs w:val="12"/>
                <w:color w:val="auto"/>
              </w:rPr>
              <w:t>(7,491)</w:t>
            </w:r>
          </w:p>
        </w:tc>
        <w:tc>
          <w:tcPr>
            <w:tcW w:w="0" w:type="dxa"/>
            <w:vAlign w:val="bottom"/>
          </w:tcPr>
          <w:p>
            <w:pPr>
              <w:spacing w:after="0"/>
              <w:rPr>
                <w:sz w:val="1"/>
                <w:szCs w:val="1"/>
                <w:color w:val="auto"/>
              </w:rPr>
            </w:pPr>
          </w:p>
        </w:tc>
      </w:tr>
      <w:tr>
        <w:trPr>
          <w:trHeight w:val="141"/>
        </w:trPr>
        <w:tc>
          <w:tcPr>
            <w:tcW w:w="484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Other expense, net</w:t>
            </w:r>
          </w:p>
        </w:tc>
        <w:tc>
          <w:tcPr>
            <w:tcW w:w="14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(4,191)</w:t>
            </w:r>
          </w:p>
        </w:tc>
        <w:tc>
          <w:tcPr>
            <w:tcW w:w="1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(815)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79"/>
              <w:spacing w:after="0"/>
              <w:rPr>
                <w:sz w:val="20"/>
                <w:szCs w:val="20"/>
                <w:color w:val="auto"/>
              </w:rPr>
            </w:pPr>
            <w:r>
              <w:rPr>
                <w:rFonts w:ascii="Times New Roman" w:cs="Times New Roman" w:eastAsia="Times New Roman" w:hAnsi="Times New Roman"/>
                <w:sz w:val="12"/>
                <w:szCs w:val="12"/>
                <w:color w:val="auto"/>
              </w:rPr>
              <w:t>(576)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right"/>
              <w:ind w:right="1139"/>
              <w:spacing w:after="0"/>
              <w:rPr>
                <w:sz w:val="20"/>
                <w:szCs w:val="20"/>
                <w:color w:val="auto"/>
              </w:rPr>
            </w:pPr>
            <w:r>
              <w:rPr>
                <w:rFonts w:ascii="Times New Roman" w:cs="Times New Roman" w:eastAsia="Times New Roman" w:hAnsi="Times New Roman"/>
                <w:sz w:val="12"/>
                <w:szCs w:val="12"/>
                <w:color w:val="auto"/>
              </w:rPr>
              <w:t>(692)</w:t>
            </w:r>
          </w:p>
        </w:tc>
        <w:tc>
          <w:tcPr>
            <w:tcW w:w="0" w:type="dxa"/>
            <w:vAlign w:val="bottom"/>
          </w:tcPr>
          <w:p>
            <w:pPr>
              <w:spacing w:after="0"/>
              <w:rPr>
                <w:sz w:val="1"/>
                <w:szCs w:val="1"/>
                <w:color w:val="auto"/>
              </w:rPr>
            </w:pPr>
          </w:p>
        </w:tc>
      </w:tr>
      <w:tr>
        <w:trPr>
          <w:trHeight w:val="122"/>
        </w:trPr>
        <w:tc>
          <w:tcPr>
            <w:tcW w:w="4840" w:type="dxa"/>
            <w:vAlign w:val="bottom"/>
          </w:tcPr>
          <w:p>
            <w:pPr>
              <w:ind w:left="1460"/>
              <w:spacing w:after="0" w:line="122" w:lineRule="exact"/>
              <w:rPr>
                <w:sz w:val="20"/>
                <w:szCs w:val="20"/>
                <w:color w:val="auto"/>
              </w:rPr>
            </w:pPr>
            <w:r>
              <w:rPr>
                <w:rFonts w:ascii="Times New Roman" w:cs="Times New Roman" w:eastAsia="Times New Roman" w:hAnsi="Times New Roman"/>
                <w:sz w:val="12"/>
                <w:szCs w:val="12"/>
                <w:b w:val="1"/>
                <w:bCs w:val="1"/>
                <w:color w:val="auto"/>
              </w:rPr>
              <w:t>Total other expense, net</w:t>
            </w:r>
          </w:p>
        </w:tc>
        <w:tc>
          <w:tcPr>
            <w:tcW w:w="14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(9,428)</w:t>
            </w:r>
          </w:p>
        </w:tc>
        <w:tc>
          <w:tcPr>
            <w:tcW w:w="26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(4,553)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(10,977)</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(8,183)</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40" w:type="dxa"/>
            <w:vAlign w:val="bottom"/>
          </w:tcPr>
          <w:p>
            <w:pPr>
              <w:ind w:left="1160"/>
              <w:spacing w:after="0" w:line="122" w:lineRule="exact"/>
              <w:rPr>
                <w:sz w:val="20"/>
                <w:szCs w:val="20"/>
                <w:color w:val="auto"/>
              </w:rPr>
            </w:pPr>
            <w:r>
              <w:rPr>
                <w:rFonts w:ascii="Times New Roman" w:cs="Times New Roman" w:eastAsia="Times New Roman" w:hAnsi="Times New Roman"/>
                <w:sz w:val="12"/>
                <w:szCs w:val="12"/>
                <w:b w:val="1"/>
                <w:bCs w:val="1"/>
                <w:color w:val="auto"/>
              </w:rPr>
              <w:t>Loss before provision for income taxes</w:t>
            </w:r>
          </w:p>
        </w:tc>
        <w:tc>
          <w:tcPr>
            <w:tcW w:w="140" w:type="dxa"/>
            <w:vAlign w:val="bottom"/>
            <w:tcBorders>
              <w:bottom w:val="single" w:sz="8" w:color="auto"/>
            </w:tcBorders>
          </w:tcPr>
          <w:p>
            <w:pPr>
              <w:jc w:val="right"/>
              <w:ind w:right="2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(63,778)</w:t>
            </w:r>
          </w:p>
        </w:tc>
        <w:tc>
          <w:tcPr>
            <w:tcW w:w="260" w:type="dxa"/>
            <w:vAlign w:val="bottom"/>
          </w:tcPr>
          <w:p>
            <w:pPr>
              <w:spacing w:after="0"/>
              <w:rPr>
                <w:sz w:val="10"/>
                <w:szCs w:val="10"/>
                <w:color w:val="auto"/>
              </w:rPr>
            </w:pPr>
          </w:p>
        </w:tc>
        <w:tc>
          <w:tcPr>
            <w:tcW w:w="160" w:type="dxa"/>
            <w:vAlign w:val="bottom"/>
            <w:tcBorders>
              <w:bottom w:val="single" w:sz="8" w:color="auto"/>
            </w:tcBorders>
          </w:tcPr>
          <w:p>
            <w:pPr>
              <w:jc w:val="right"/>
              <w:ind w:right="4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(53,453)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jc w:val="right"/>
              <w:ind w:right="4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(123,871</w:t>
            </w:r>
          </w:p>
        </w:tc>
        <w:tc>
          <w:tcPr>
            <w:tcW w:w="160" w:type="dxa"/>
            <w:vAlign w:val="bottom"/>
          </w:tcPr>
          <w:p>
            <w:pPr>
              <w:jc w:val="right"/>
              <w:ind w:right="7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Pr>
          <w:p>
            <w:pPr>
              <w:spacing w:after="0"/>
              <w:rPr>
                <w:sz w:val="10"/>
                <w:szCs w:val="10"/>
                <w:color w:val="auto"/>
              </w:rPr>
            </w:pPr>
          </w:p>
        </w:tc>
        <w:tc>
          <w:tcPr>
            <w:tcW w:w="140" w:type="dxa"/>
            <w:vAlign w:val="bottom"/>
            <w:tcBorders>
              <w:bottom w:val="single" w:sz="8" w:color="auto"/>
            </w:tcBorders>
          </w:tcPr>
          <w:p>
            <w:pPr>
              <w:jc w:val="right"/>
              <w:ind w:right="2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(106,224</w:t>
            </w:r>
          </w:p>
        </w:tc>
        <w:tc>
          <w:tcPr>
            <w:tcW w:w="1220" w:type="dxa"/>
            <w:vAlign w:val="bottom"/>
          </w:tcPr>
          <w:p>
            <w:pPr>
              <w:jc w:val="right"/>
              <w:ind w:right="1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22"/>
        </w:trPr>
        <w:tc>
          <w:tcPr>
            <w:tcW w:w="4840" w:type="dxa"/>
            <w:vAlign w:val="bottom"/>
          </w:tcPr>
          <w:p>
            <w:pPr>
              <w:ind w:left="1320"/>
              <w:spacing w:after="0" w:line="122" w:lineRule="exact"/>
              <w:rPr>
                <w:sz w:val="20"/>
                <w:szCs w:val="20"/>
                <w:color w:val="auto"/>
              </w:rPr>
            </w:pPr>
            <w:r>
              <w:rPr>
                <w:rFonts w:ascii="Times New Roman" w:cs="Times New Roman" w:eastAsia="Times New Roman" w:hAnsi="Times New Roman"/>
                <w:sz w:val="12"/>
                <w:szCs w:val="12"/>
                <w:color w:val="auto"/>
              </w:rPr>
              <w:t>Provision for income taxes</w:t>
            </w: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4840" w:type="dxa"/>
            <w:vAlign w:val="bottom"/>
          </w:tcPr>
          <w:p>
            <w:pPr>
              <w:ind w:left="1160"/>
              <w:spacing w:after="0" w:line="111" w:lineRule="exact"/>
              <w:rPr>
                <w:sz w:val="20"/>
                <w:szCs w:val="20"/>
                <w:color w:val="auto"/>
              </w:rPr>
            </w:pPr>
            <w:r>
              <w:rPr>
                <w:rFonts w:ascii="Times New Roman" w:cs="Times New Roman" w:eastAsia="Times New Roman" w:hAnsi="Times New Roman"/>
                <w:sz w:val="12"/>
                <w:szCs w:val="12"/>
                <w:b w:val="1"/>
                <w:bCs w:val="1"/>
                <w:color w:val="auto"/>
              </w:rPr>
              <w:t>Net loss and comprehensive loss</w:t>
            </w:r>
          </w:p>
        </w:tc>
        <w:tc>
          <w:tcPr>
            <w:tcW w:w="140" w:type="dxa"/>
            <w:vAlign w:val="bottom"/>
          </w:tcPr>
          <w:p>
            <w:pPr>
              <w:jc w:val="right"/>
              <w:ind w:right="27"/>
              <w:spacing w:after="0" w:line="11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(63,778)</w:t>
            </w:r>
          </w:p>
        </w:tc>
        <w:tc>
          <w:tcPr>
            <w:tcW w:w="260" w:type="dxa"/>
            <w:vAlign w:val="bottom"/>
          </w:tcPr>
          <w:p>
            <w:pPr>
              <w:spacing w:after="0"/>
              <w:rPr>
                <w:sz w:val="9"/>
                <w:szCs w:val="9"/>
                <w:color w:val="auto"/>
              </w:rPr>
            </w:pPr>
          </w:p>
        </w:tc>
        <w:tc>
          <w:tcPr>
            <w:tcW w:w="160" w:type="dxa"/>
            <w:vAlign w:val="bottom"/>
          </w:tcPr>
          <w:p>
            <w:pPr>
              <w:jc w:val="right"/>
              <w:ind w:right="47"/>
              <w:spacing w:after="0" w:line="11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(53,453)</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jc w:val="right"/>
              <w:ind w:right="47"/>
              <w:spacing w:after="0" w:line="11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(123,871)</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jc w:val="right"/>
              <w:ind w:right="27"/>
              <w:spacing w:after="0" w:line="11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(106,224)</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84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Less: Accretion of dividends of Series C Preferred Stock</w:t>
            </w:r>
          </w:p>
        </w:tc>
        <w:tc>
          <w:tcPr>
            <w:tcW w:w="14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5,363</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5,296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10,942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10,515</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84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Less: Accretion of dividends of Series D-1 Preferred Stock</w:t>
            </w:r>
          </w:p>
        </w:tc>
        <w:tc>
          <w:tcPr>
            <w:tcW w:w="14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10,856</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2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17,465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gridSpan w:val="2"/>
          </w:tcPr>
          <w:p>
            <w:pPr>
              <w:jc w:val="right"/>
              <w:ind w:right="1179"/>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484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Less: Accretion of dividends of Series D-3 Preferred Stock</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right"/>
              <w:ind w:right="1179"/>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2"/>
        </w:trPr>
        <w:tc>
          <w:tcPr>
            <w:tcW w:w="4840" w:type="dxa"/>
            <w:vAlign w:val="bottom"/>
          </w:tcPr>
          <w:p>
            <w:pPr>
              <w:ind w:left="1160"/>
              <w:spacing w:after="0" w:line="122" w:lineRule="exact"/>
              <w:rPr>
                <w:sz w:val="20"/>
                <w:szCs w:val="20"/>
                <w:color w:val="auto"/>
              </w:rPr>
            </w:pPr>
            <w:r>
              <w:rPr>
                <w:rFonts w:ascii="Times New Roman" w:cs="Times New Roman" w:eastAsia="Times New Roman" w:hAnsi="Times New Roman"/>
                <w:sz w:val="12"/>
                <w:szCs w:val="12"/>
                <w:b w:val="1"/>
                <w:bCs w:val="1"/>
                <w:color w:val="auto"/>
              </w:rPr>
              <w:t>Net loss available to common stockholders</w:t>
            </w:r>
          </w:p>
        </w:tc>
        <w:tc>
          <w:tcPr>
            <w:tcW w:w="140" w:type="dxa"/>
            <w:vAlign w:val="bottom"/>
            <w:tcBorders>
              <w:top w:val="single" w:sz="8" w:color="auto"/>
              <w:bottom w:val="single" w:sz="8" w:color="auto"/>
            </w:tcBorders>
          </w:tcPr>
          <w:p>
            <w:pPr>
              <w:jc w:val="right"/>
              <w:ind w:right="2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(80,263)</w:t>
            </w:r>
          </w:p>
        </w:tc>
        <w:tc>
          <w:tcPr>
            <w:tcW w:w="26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4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(58,749)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4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(152,544</w:t>
            </w:r>
          </w:p>
        </w:tc>
        <w:tc>
          <w:tcPr>
            <w:tcW w:w="160" w:type="dxa"/>
            <w:vAlign w:val="bottom"/>
          </w:tcPr>
          <w:p>
            <w:pPr>
              <w:jc w:val="right"/>
              <w:ind w:right="7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(116,739</w:t>
            </w:r>
          </w:p>
        </w:tc>
        <w:tc>
          <w:tcPr>
            <w:tcW w:w="1220" w:type="dxa"/>
            <w:vAlign w:val="bottom"/>
          </w:tcPr>
          <w:p>
            <w:pPr>
              <w:jc w:val="right"/>
              <w:ind w:right="1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1160"/>
              <w:spacing w:after="0"/>
              <w:rPr>
                <w:sz w:val="20"/>
                <w:szCs w:val="20"/>
                <w:color w:val="auto"/>
              </w:rPr>
            </w:pPr>
            <w:r>
              <w:rPr>
                <w:rFonts w:ascii="Times New Roman" w:cs="Times New Roman" w:eastAsia="Times New Roman" w:hAnsi="Times New Roman"/>
                <w:sz w:val="12"/>
                <w:szCs w:val="12"/>
                <w:b w:val="1"/>
                <w:bCs w:val="1"/>
                <w:color w:val="auto"/>
              </w:rPr>
              <w:t>Net loss per common share</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840" w:type="dxa"/>
            <w:vAlign w:val="bottom"/>
          </w:tcPr>
          <w:p>
            <w:pPr>
              <w:ind w:left="1320"/>
              <w:spacing w:after="0" w:line="128" w:lineRule="exact"/>
              <w:rPr>
                <w:sz w:val="20"/>
                <w:szCs w:val="20"/>
                <w:color w:val="auto"/>
              </w:rPr>
            </w:pPr>
            <w:r>
              <w:rPr>
                <w:rFonts w:ascii="Times New Roman" w:cs="Times New Roman" w:eastAsia="Times New Roman" w:hAnsi="Times New Roman"/>
                <w:sz w:val="12"/>
                <w:szCs w:val="12"/>
                <w:color w:val="auto"/>
              </w:rPr>
              <w:t>Basic and diluted</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(5.78)</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(4.60)</w:t>
            </w:r>
          </w:p>
        </w:tc>
        <w:tc>
          <w:tcPr>
            <w:tcW w:w="240" w:type="dxa"/>
            <w:vAlign w:val="bottom"/>
            <w:gridSpan w:val="2"/>
          </w:tcPr>
          <w:p>
            <w:pPr>
              <w:jc w:val="right"/>
              <w:ind w:right="47"/>
              <w:spacing w:after="0" w:line="128"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79"/>
              <w:spacing w:after="0" w:line="128" w:lineRule="exact"/>
              <w:rPr>
                <w:sz w:val="20"/>
                <w:szCs w:val="20"/>
                <w:color w:val="auto"/>
              </w:rPr>
            </w:pPr>
            <w:r>
              <w:rPr>
                <w:rFonts w:ascii="Times New Roman" w:cs="Times New Roman" w:eastAsia="Times New Roman" w:hAnsi="Times New Roman"/>
                <w:sz w:val="12"/>
                <w:szCs w:val="12"/>
                <w:color w:val="auto"/>
              </w:rPr>
              <w:t>(11.17)</w:t>
            </w:r>
          </w:p>
        </w:tc>
        <w:tc>
          <w:tcPr>
            <w:tcW w:w="260" w:type="dxa"/>
            <w:vAlign w:val="bottom"/>
            <w:gridSpan w:val="2"/>
          </w:tcPr>
          <w:p>
            <w:pPr>
              <w:jc w:val="right"/>
              <w:ind w:right="27"/>
              <w:spacing w:after="0" w:line="128" w:lineRule="exact"/>
              <w:rPr>
                <w:sz w:val="20"/>
                <w:szCs w:val="20"/>
                <w:color w:val="auto"/>
              </w:rPr>
            </w:pPr>
            <w:r>
              <w:rPr>
                <w:rFonts w:ascii="Times New Roman" w:cs="Times New Roman" w:eastAsia="Times New Roman" w:hAnsi="Times New Roman"/>
                <w:sz w:val="12"/>
                <w:szCs w:val="12"/>
                <w:color w:val="auto"/>
              </w:rPr>
              <w:t>$</w:t>
            </w:r>
          </w:p>
        </w:tc>
        <w:tc>
          <w:tcPr>
            <w:tcW w:w="1800" w:type="dxa"/>
            <w:vAlign w:val="bottom"/>
            <w:gridSpan w:val="2"/>
          </w:tcPr>
          <w:p>
            <w:pPr>
              <w:jc w:val="right"/>
              <w:ind w:right="1139"/>
              <w:spacing w:after="0" w:line="128" w:lineRule="exact"/>
              <w:rPr>
                <w:sz w:val="20"/>
                <w:szCs w:val="20"/>
                <w:color w:val="auto"/>
              </w:rPr>
            </w:pPr>
            <w:r>
              <w:rPr>
                <w:rFonts w:ascii="Times New Roman" w:cs="Times New Roman" w:eastAsia="Times New Roman" w:hAnsi="Times New Roman"/>
                <w:sz w:val="12"/>
                <w:szCs w:val="12"/>
                <w:color w:val="auto"/>
              </w:rPr>
              <w:t>(9.24)</w:t>
            </w:r>
          </w:p>
        </w:tc>
        <w:tc>
          <w:tcPr>
            <w:tcW w:w="0" w:type="dxa"/>
            <w:vAlign w:val="bottom"/>
          </w:tcPr>
          <w:p>
            <w:pPr>
              <w:spacing w:after="0"/>
              <w:rPr>
                <w:sz w:val="1"/>
                <w:szCs w:val="1"/>
                <w:color w:val="auto"/>
              </w:rPr>
            </w:pPr>
          </w:p>
        </w:tc>
      </w:tr>
      <w:tr>
        <w:trPr>
          <w:trHeight w:val="132"/>
        </w:trPr>
        <w:tc>
          <w:tcPr>
            <w:tcW w:w="4840" w:type="dxa"/>
            <w:vAlign w:val="bottom"/>
          </w:tcPr>
          <w:p>
            <w:pPr>
              <w:ind w:left="1160"/>
              <w:spacing w:after="0" w:line="132" w:lineRule="exact"/>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4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Basic and diluted</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13,877</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12,765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13,659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12,630</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0"/>
        </w:trPr>
        <w:tc>
          <w:tcPr>
            <w:tcW w:w="4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6127115</wp:posOffset>
            </wp:positionH>
            <wp:positionV relativeFrom="paragraph">
              <wp:posOffset>-27305</wp:posOffset>
            </wp:positionV>
            <wp:extent cx="3302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-27305</wp:posOffset>
            </wp:positionV>
            <wp:extent cx="3302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680"/>
          </w:cols>
          <w:pgMar w:left="1100" w:top="1440" w:right="1119" w:bottom="1440" w:gutter="0" w:footer="0" w:header="0"/>
        </w:sectPr>
      </w:pPr>
    </w:p>
    <w:bookmarkStart w:id="11" w:name="page12"/>
    <w:bookmarkEnd w:id="11"/>
    <w:p>
      <w:pPr>
        <w:spacing w:after="0" w:line="3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449580</wp:posOffset>
            </wp:positionV>
            <wp:extent cx="1344295" cy="698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344295" cy="69850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(unaudited; in thousands, except per share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080" w:type="dxa"/>
            <w:vAlign w:val="bottom"/>
            <w:vMerge w:val="restart"/>
          </w:tcPr>
          <w:p>
            <w:pPr>
              <w:ind w:left="116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20" w:type="dxa"/>
            <w:vAlign w:val="bottom"/>
          </w:tcPr>
          <w:p>
            <w:pPr>
              <w:spacing w:after="0"/>
              <w:rPr>
                <w:sz w:val="12"/>
                <w:szCs w:val="12"/>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2260" w:type="dxa"/>
            <w:vAlign w:val="bottom"/>
            <w:gridSpan w:val="3"/>
          </w:tcPr>
          <w:p>
            <w:pPr>
              <w:jc w:val="right"/>
              <w:ind w:right="1280"/>
              <w:spacing w:after="0"/>
              <w:rPr>
                <w:sz w:val="20"/>
                <w:szCs w:val="20"/>
                <w:color w:val="auto"/>
              </w:rPr>
            </w:pPr>
            <w:r>
              <w:rPr>
                <w:rFonts w:ascii="Times New Roman" w:cs="Times New Roman" w:eastAsia="Times New Roman" w:hAnsi="Times New Roman"/>
                <w:sz w:val="12"/>
                <w:szCs w:val="12"/>
                <w:b w:val="1"/>
                <w:bCs w:val="1"/>
                <w:color w:val="auto"/>
                <w:w w:val="98"/>
              </w:rPr>
              <w:t>December 31, 2024</w:t>
            </w:r>
          </w:p>
        </w:tc>
        <w:tc>
          <w:tcPr>
            <w:tcW w:w="0" w:type="dxa"/>
            <w:vAlign w:val="bottom"/>
          </w:tcPr>
          <w:p>
            <w:pPr>
              <w:spacing w:after="0"/>
              <w:rPr>
                <w:sz w:val="1"/>
                <w:szCs w:val="1"/>
                <w:color w:val="auto"/>
              </w:rPr>
            </w:pPr>
          </w:p>
        </w:tc>
      </w:tr>
      <w:tr>
        <w:trPr>
          <w:trHeight w:val="111"/>
        </w:trPr>
        <w:tc>
          <w:tcPr>
            <w:tcW w:w="6080" w:type="dxa"/>
            <w:vAlign w:val="bottom"/>
            <w:vMerge w:val="continue"/>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160"/>
              <w:spacing w:after="0" w:line="130" w:lineRule="exact"/>
              <w:rPr>
                <w:sz w:val="20"/>
                <w:szCs w:val="20"/>
                <w:color w:val="auto"/>
              </w:rPr>
            </w:pPr>
            <w:r>
              <w:rPr>
                <w:rFonts w:ascii="Times New Roman" w:cs="Times New Roman" w:eastAsia="Times New Roman" w:hAnsi="Times New Roman"/>
                <w:sz w:val="12"/>
                <w:szCs w:val="12"/>
                <w:color w:val="auto"/>
              </w:rPr>
              <w:t>Current assets</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Cash and cash equivalents</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205,286</w:t>
            </w:r>
          </w:p>
        </w:tc>
        <w:tc>
          <w:tcPr>
            <w:tcW w:w="280" w:type="dxa"/>
            <w:vAlign w:val="bottom"/>
          </w:tcPr>
          <w:p>
            <w:pPr>
              <w:spacing w:after="0"/>
              <w:rPr>
                <w:sz w:val="11"/>
                <w:szCs w:val="11"/>
                <w:color w:val="auto"/>
              </w:rPr>
            </w:pPr>
          </w:p>
        </w:tc>
        <w:tc>
          <w:tcPr>
            <w:tcW w:w="320" w:type="dxa"/>
            <w:vAlign w:val="bottom"/>
          </w:tcPr>
          <w:p>
            <w:pPr>
              <w:jc w:val="right"/>
              <w:ind w:right="250"/>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123,431</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Restricted cash, current</w:t>
            </w: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829</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424</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Accounts receivable, net</w:t>
            </w: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5,638</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1,004</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Advanced payments, current</w:t>
            </w: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13,626</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52,404</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08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Other current assets</w:t>
            </w: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8,730</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3,454</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6080" w:type="dxa"/>
            <w:vAlign w:val="bottom"/>
          </w:tcPr>
          <w:p>
            <w:pPr>
              <w:ind w:left="1460"/>
              <w:spacing w:after="0" w:line="111"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120" w:type="dxa"/>
            <w:vAlign w:val="bottom"/>
          </w:tcPr>
          <w:p>
            <w:pPr>
              <w:spacing w:after="0"/>
              <w:rPr>
                <w:sz w:val="9"/>
                <w:szCs w:val="9"/>
                <w:color w:val="auto"/>
              </w:rPr>
            </w:pPr>
          </w:p>
        </w:tc>
        <w:tc>
          <w:tcPr>
            <w:tcW w:w="94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234,109</w:t>
            </w: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180,717</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Advanced payments, less current portion</w:t>
            </w: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41,770</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41,770</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Property and equipment, net</w:t>
            </w: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138,654</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135,575</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Restricted cash, less current portion</w:t>
            </w: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15,428</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13,703</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Right-of-use assets - operating leases</w:t>
            </w: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14,366</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14,604</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Right-of-use assets - finance leases</w:t>
            </w: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4,585</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3,708</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Goodwill</w:t>
            </w: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17,097</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17,097</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08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Other noncurrent assets</w:t>
            </w: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784</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080" w:type="dxa"/>
            <w:vAlign w:val="bottom"/>
          </w:tcPr>
          <w:p>
            <w:pPr>
              <w:ind w:left="1460"/>
              <w:spacing w:after="0" w:line="122"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120" w:type="dxa"/>
            <w:vAlign w:val="bottom"/>
            <w:tcBorders>
              <w:bottom w:val="single" w:sz="8" w:color="auto"/>
            </w:tcBorders>
          </w:tcPr>
          <w:p>
            <w:pPr>
              <w:jc w:val="right"/>
              <w:ind w:right="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466,793</w:t>
            </w:r>
          </w:p>
        </w:tc>
        <w:tc>
          <w:tcPr>
            <w:tcW w:w="280" w:type="dxa"/>
            <w:vAlign w:val="bottom"/>
          </w:tcPr>
          <w:p>
            <w:pPr>
              <w:spacing w:after="0"/>
              <w:rPr>
                <w:sz w:val="10"/>
                <w:szCs w:val="10"/>
                <w:color w:val="auto"/>
              </w:rPr>
            </w:pPr>
          </w:p>
        </w:tc>
        <w:tc>
          <w:tcPr>
            <w:tcW w:w="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407,332</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ind w:left="1160"/>
              <w:spacing w:after="0"/>
              <w:rPr>
                <w:sz w:val="20"/>
                <w:szCs w:val="20"/>
                <w:color w:val="auto"/>
              </w:rPr>
            </w:pPr>
            <w:r>
              <w:rPr>
                <w:rFonts w:ascii="Times New Roman" w:cs="Times New Roman" w:eastAsia="Times New Roman" w:hAnsi="Times New Roman"/>
                <w:sz w:val="12"/>
                <w:szCs w:val="12"/>
                <w:b w:val="1"/>
                <w:bCs w:val="1"/>
                <w:color w:val="auto"/>
              </w:rPr>
              <w:t>Liabilities, temporary equity, and stockholders' deficit</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160"/>
              <w:spacing w:after="0" w:line="130" w:lineRule="exact"/>
              <w:rPr>
                <w:sz w:val="20"/>
                <w:szCs w:val="20"/>
                <w:color w:val="auto"/>
              </w:rPr>
            </w:pPr>
            <w:r>
              <w:rPr>
                <w:rFonts w:ascii="Times New Roman" w:cs="Times New Roman" w:eastAsia="Times New Roman" w:hAnsi="Times New Roman"/>
                <w:sz w:val="12"/>
                <w:szCs w:val="12"/>
                <w:color w:val="auto"/>
              </w:rPr>
              <w:t>Current liabilities</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Accounts payable</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32,877</w:t>
            </w:r>
          </w:p>
        </w:tc>
        <w:tc>
          <w:tcPr>
            <w:tcW w:w="280" w:type="dxa"/>
            <w:vAlign w:val="bottom"/>
          </w:tcPr>
          <w:p>
            <w:pPr>
              <w:spacing w:after="0"/>
              <w:rPr>
                <w:sz w:val="11"/>
                <w:szCs w:val="11"/>
                <w:color w:val="auto"/>
              </w:rPr>
            </w:pPr>
          </w:p>
        </w:tc>
        <w:tc>
          <w:tcPr>
            <w:tcW w:w="320" w:type="dxa"/>
            <w:vAlign w:val="bottom"/>
          </w:tcPr>
          <w:p>
            <w:pPr>
              <w:jc w:val="right"/>
              <w:ind w:right="250"/>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37,633</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Accounts payable - related parties</w:t>
            </w: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441</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86</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Accrued expenses</w:t>
            </w: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16,664</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14,419</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Operating lease liability, current</w:t>
            </w: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316</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1,128</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Finance lease liability, current</w:t>
            </w: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1,067</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856</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Deferred revenue, current</w:t>
            </w: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82,706</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108,069</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Notes payable, current</w:t>
            </w: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6,869</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6,349</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08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6,495</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10,837</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6080" w:type="dxa"/>
            <w:vAlign w:val="bottom"/>
          </w:tcPr>
          <w:p>
            <w:pPr>
              <w:ind w:left="1460"/>
              <w:spacing w:after="0" w:line="111"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120" w:type="dxa"/>
            <w:vAlign w:val="bottom"/>
          </w:tcPr>
          <w:p>
            <w:pPr>
              <w:spacing w:after="0"/>
              <w:rPr>
                <w:sz w:val="9"/>
                <w:szCs w:val="9"/>
                <w:color w:val="auto"/>
              </w:rPr>
            </w:pPr>
          </w:p>
        </w:tc>
        <w:tc>
          <w:tcPr>
            <w:tcW w:w="94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147,435</w:t>
            </w: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179,377</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Operating lease liability, less current portion</w:t>
            </w: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15,215</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16,466</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Finance lease liability, less current portion</w:t>
            </w: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2,528</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1,996</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Deferred revenue, less current portion</w:t>
            </w: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75,824</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45,904</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Notes payable, less current portion</w:t>
            </w: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123,479</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124,079</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Notes payable, less current portion - related parties</w:t>
            </w: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18,079</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17,524</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Warrant liability</w:t>
            </w: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9,177</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4,070</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08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Other liabilities, less current portion</w:t>
            </w: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19,681</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25,956</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6080" w:type="dxa"/>
            <w:vAlign w:val="bottom"/>
          </w:tcPr>
          <w:p>
            <w:pPr>
              <w:ind w:left="1460"/>
              <w:spacing w:after="0" w:line="111"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120" w:type="dxa"/>
            <w:vAlign w:val="bottom"/>
          </w:tcPr>
          <w:p>
            <w:pPr>
              <w:jc w:val="right"/>
              <w:ind w:right="7"/>
              <w:spacing w:after="0" w:line="11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411,418</w:t>
            </w:r>
          </w:p>
        </w:tc>
        <w:tc>
          <w:tcPr>
            <w:tcW w:w="280" w:type="dxa"/>
            <w:vAlign w:val="bottom"/>
          </w:tcPr>
          <w:p>
            <w:pPr>
              <w:spacing w:after="0"/>
              <w:rPr>
                <w:sz w:val="9"/>
                <w:szCs w:val="9"/>
                <w:color w:val="auto"/>
              </w:rPr>
            </w:pPr>
          </w:p>
        </w:tc>
        <w:tc>
          <w:tcPr>
            <w:tcW w:w="320" w:type="dxa"/>
            <w:vAlign w:val="bottom"/>
          </w:tcPr>
          <w:p>
            <w:pPr>
              <w:jc w:val="right"/>
              <w:ind w:right="25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415,372</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6080" w:type="dxa"/>
            <w:vAlign w:val="bottom"/>
          </w:tcPr>
          <w:p>
            <w:pPr>
              <w:ind w:left="1160"/>
              <w:spacing w:after="0" w:line="128" w:lineRule="exact"/>
              <w:rPr>
                <w:sz w:val="20"/>
                <w:szCs w:val="20"/>
                <w:color w:val="auto"/>
              </w:rPr>
            </w:pPr>
            <w:r>
              <w:rPr>
                <w:rFonts w:ascii="Times New Roman" w:cs="Times New Roman" w:eastAsia="Times New Roman" w:hAnsi="Times New Roman"/>
                <w:sz w:val="12"/>
                <w:szCs w:val="12"/>
                <w:color w:val="auto"/>
              </w:rPr>
              <w:t>Commitments and contingencies</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080" w:type="dxa"/>
            <w:vAlign w:val="bottom"/>
          </w:tcPr>
          <w:p>
            <w:pPr>
              <w:ind w:left="1160"/>
              <w:spacing w:after="0" w:line="132" w:lineRule="exact"/>
              <w:rPr>
                <w:sz w:val="20"/>
                <w:szCs w:val="20"/>
                <w:color w:val="auto"/>
              </w:rPr>
            </w:pPr>
            <w:r>
              <w:rPr>
                <w:rFonts w:ascii="Times New Roman" w:cs="Times New Roman" w:eastAsia="Times New Roman" w:hAnsi="Times New Roman"/>
                <w:sz w:val="12"/>
                <w:szCs w:val="12"/>
                <w:b w:val="1"/>
                <w:bCs w:val="1"/>
                <w:color w:val="auto"/>
              </w:rPr>
              <w:t>Temporary equity</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400"/>
              <w:spacing w:after="0" w:line="130" w:lineRule="exact"/>
              <w:rPr>
                <w:sz w:val="20"/>
                <w:szCs w:val="20"/>
                <w:color w:val="auto"/>
              </w:rPr>
            </w:pPr>
            <w:r>
              <w:rPr>
                <w:rFonts w:ascii="Times New Roman" w:cs="Times New Roman" w:eastAsia="Times New Roman" w:hAnsi="Times New Roman"/>
                <w:sz w:val="12"/>
                <w:szCs w:val="12"/>
                <w:color w:val="auto"/>
              </w:rPr>
              <w:t>Redeemable convertible preferred stock, $0.0001 par value; 65,408 and 51,033 shares</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400"/>
              <w:spacing w:after="0" w:line="130" w:lineRule="exact"/>
              <w:rPr>
                <w:sz w:val="20"/>
                <w:szCs w:val="20"/>
                <w:color w:val="auto"/>
              </w:rPr>
            </w:pPr>
            <w:r>
              <w:rPr>
                <w:rFonts w:ascii="Times New Roman" w:cs="Times New Roman" w:eastAsia="Times New Roman" w:hAnsi="Times New Roman"/>
                <w:sz w:val="12"/>
                <w:szCs w:val="12"/>
                <w:color w:val="auto"/>
              </w:rPr>
              <w:t>authorized as of June 30, 2025 and December 31, 2024, respectively; 52,543 and 41,588</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400"/>
              <w:spacing w:after="0" w:line="130" w:lineRule="exact"/>
              <w:rPr>
                <w:sz w:val="20"/>
                <w:szCs w:val="20"/>
                <w:color w:val="auto"/>
              </w:rPr>
            </w:pPr>
            <w:r>
              <w:rPr>
                <w:rFonts w:ascii="Times New Roman" w:cs="Times New Roman" w:eastAsia="Times New Roman" w:hAnsi="Times New Roman"/>
                <w:sz w:val="12"/>
                <w:szCs w:val="12"/>
                <w:color w:val="auto"/>
              </w:rPr>
              <w:t>shares issued and outstanding as of June 30, 2025 and December 31, 2024, respectively;</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400"/>
              <w:spacing w:after="0" w:line="130" w:lineRule="exact"/>
              <w:rPr>
                <w:sz w:val="20"/>
                <w:szCs w:val="20"/>
                <w:color w:val="auto"/>
              </w:rPr>
            </w:pPr>
            <w:r>
              <w:rPr>
                <w:rFonts w:ascii="Times New Roman" w:cs="Times New Roman" w:eastAsia="Times New Roman" w:hAnsi="Times New Roman"/>
                <w:sz w:val="12"/>
                <w:szCs w:val="12"/>
                <w:color w:val="auto"/>
              </w:rPr>
              <w:t>$1,599,250 and $1,227,158 liquidation preference as of June 30, 2025 and December 31,</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080" w:type="dxa"/>
            <w:vAlign w:val="bottom"/>
          </w:tcPr>
          <w:p>
            <w:pPr>
              <w:ind w:left="1400"/>
              <w:spacing w:after="0" w:line="128" w:lineRule="exact"/>
              <w:rPr>
                <w:sz w:val="20"/>
                <w:szCs w:val="20"/>
                <w:color w:val="auto"/>
              </w:rPr>
            </w:pPr>
            <w:r>
              <w:rPr>
                <w:rFonts w:ascii="Times New Roman" w:cs="Times New Roman" w:eastAsia="Times New Roman" w:hAnsi="Times New Roman"/>
                <w:sz w:val="12"/>
                <w:szCs w:val="12"/>
                <w:color w:val="auto"/>
              </w:rPr>
              <w:t>2024, respectively</w:t>
            </w:r>
          </w:p>
        </w:tc>
        <w:tc>
          <w:tcPr>
            <w:tcW w:w="120" w:type="dxa"/>
            <w:vAlign w:val="bottom"/>
          </w:tcPr>
          <w:p>
            <w:pPr>
              <w:spacing w:after="0"/>
              <w:rPr>
                <w:sz w:val="11"/>
                <w:szCs w:val="11"/>
                <w:color w:val="auto"/>
              </w:rPr>
            </w:pPr>
          </w:p>
        </w:tc>
        <w:tc>
          <w:tcPr>
            <w:tcW w:w="9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973,371</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759,582</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080" w:type="dxa"/>
            <w:vAlign w:val="bottom"/>
          </w:tcPr>
          <w:p>
            <w:pPr>
              <w:ind w:left="1160"/>
              <w:spacing w:after="0" w:line="132" w:lineRule="exact"/>
              <w:rPr>
                <w:sz w:val="20"/>
                <w:szCs w:val="20"/>
                <w:color w:val="auto"/>
              </w:rPr>
            </w:pPr>
            <w:r>
              <w:rPr>
                <w:rFonts w:ascii="Times New Roman" w:cs="Times New Roman" w:eastAsia="Times New Roman" w:hAnsi="Times New Roman"/>
                <w:sz w:val="12"/>
                <w:szCs w:val="12"/>
                <w:b w:val="1"/>
                <w:bCs w:val="1"/>
                <w:color w:val="auto"/>
              </w:rPr>
              <w:t>Stockholders' deficit</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Common stock, $0.0001 par value, 168,772 and 154,397 shares authorized as of June 30, 2025</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and December 31, 2024, respectively; 14,008 and 13,241 shares issued and outstanding as of</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June 30, 2025 and December 31, 2024, respectively</w:t>
            </w: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Additional paid-in capital, net of issuance costs</w:t>
            </w:r>
          </w:p>
        </w:tc>
        <w:tc>
          <w:tcPr>
            <w:tcW w:w="120" w:type="dxa"/>
            <w:vAlign w:val="bottom"/>
          </w:tcPr>
          <w:p>
            <w:pPr>
              <w:spacing w:after="0"/>
              <w:rPr>
                <w:sz w:val="11"/>
                <w:szCs w:val="11"/>
                <w:color w:val="auto"/>
              </w:rPr>
            </w:pPr>
          </w:p>
        </w:tc>
        <w:tc>
          <w:tcPr>
            <w:tcW w:w="1220" w:type="dxa"/>
            <w:vAlign w:val="bottom"/>
            <w:gridSpan w:val="2"/>
          </w:tcPr>
          <w:p>
            <w:pPr>
              <w:jc w:val="right"/>
              <w:ind w:right="300"/>
              <w:spacing w:after="0" w:line="130"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940" w:type="dxa"/>
            <w:vAlign w:val="bottom"/>
            <w:gridSpan w:val="2"/>
          </w:tcPr>
          <w:p>
            <w:pPr>
              <w:jc w:val="right"/>
              <w:ind w:right="1220"/>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608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Accumulated deficit</w:t>
            </w:r>
          </w:p>
        </w:tc>
        <w:tc>
          <w:tcPr>
            <w:tcW w:w="12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(917,998)</w:t>
            </w:r>
          </w:p>
        </w:tc>
        <w:tc>
          <w:tcPr>
            <w:tcW w:w="320" w:type="dxa"/>
            <w:vAlign w:val="bottom"/>
          </w:tcPr>
          <w:p>
            <w:pPr>
              <w:spacing w:after="0"/>
              <w:rPr>
                <w:sz w:val="12"/>
                <w:szCs w:val="12"/>
                <w:color w:val="auto"/>
              </w:rPr>
            </w:pPr>
          </w:p>
        </w:tc>
        <w:tc>
          <w:tcPr>
            <w:tcW w:w="1940" w:type="dxa"/>
            <w:vAlign w:val="bottom"/>
            <w:gridSpan w:val="2"/>
          </w:tcPr>
          <w:p>
            <w:pPr>
              <w:jc w:val="right"/>
              <w:ind w:right="1180"/>
              <w:spacing w:after="0"/>
              <w:rPr>
                <w:sz w:val="20"/>
                <w:szCs w:val="20"/>
                <w:color w:val="auto"/>
              </w:rPr>
            </w:pPr>
            <w:r>
              <w:rPr>
                <w:rFonts w:ascii="Times New Roman" w:cs="Times New Roman" w:eastAsia="Times New Roman" w:hAnsi="Times New Roman"/>
                <w:sz w:val="12"/>
                <w:szCs w:val="12"/>
                <w:color w:val="auto"/>
              </w:rPr>
              <w:t>(767,623)</w:t>
            </w:r>
          </w:p>
        </w:tc>
        <w:tc>
          <w:tcPr>
            <w:tcW w:w="0" w:type="dxa"/>
            <w:vAlign w:val="bottom"/>
          </w:tcPr>
          <w:p>
            <w:pPr>
              <w:spacing w:after="0"/>
              <w:rPr>
                <w:sz w:val="1"/>
                <w:szCs w:val="1"/>
                <w:color w:val="auto"/>
              </w:rPr>
            </w:pPr>
          </w:p>
        </w:tc>
      </w:tr>
      <w:tr>
        <w:trPr>
          <w:trHeight w:val="122"/>
        </w:trPr>
        <w:tc>
          <w:tcPr>
            <w:tcW w:w="6080" w:type="dxa"/>
            <w:vAlign w:val="bottom"/>
          </w:tcPr>
          <w:p>
            <w:pPr>
              <w:ind w:left="1160"/>
              <w:spacing w:after="0" w:line="122" w:lineRule="exact"/>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12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(917,996)</w:t>
            </w:r>
          </w:p>
        </w:tc>
        <w:tc>
          <w:tcPr>
            <w:tcW w:w="280" w:type="dxa"/>
            <w:vAlign w:val="bottom"/>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(767,622)</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80" w:type="dxa"/>
            <w:vAlign w:val="bottom"/>
          </w:tcPr>
          <w:p>
            <w:pPr>
              <w:ind w:left="1160"/>
              <w:spacing w:after="0" w:line="122" w:lineRule="exact"/>
              <w:rPr>
                <w:sz w:val="20"/>
                <w:szCs w:val="20"/>
                <w:color w:val="auto"/>
              </w:rPr>
            </w:pPr>
            <w:r>
              <w:rPr>
                <w:rFonts w:ascii="Times New Roman" w:cs="Times New Roman" w:eastAsia="Times New Roman" w:hAnsi="Times New Roman"/>
                <w:sz w:val="12"/>
                <w:szCs w:val="12"/>
                <w:b w:val="1"/>
                <w:bCs w:val="1"/>
                <w:color w:val="auto"/>
              </w:rPr>
              <w:t>Total liabilities, temporary equity, and stockholders' deficit</w:t>
            </w:r>
          </w:p>
        </w:tc>
        <w:tc>
          <w:tcPr>
            <w:tcW w:w="120" w:type="dxa"/>
            <w:vAlign w:val="bottom"/>
            <w:tcBorders>
              <w:bottom w:val="single" w:sz="8" w:color="auto"/>
            </w:tcBorders>
          </w:tcPr>
          <w:p>
            <w:pPr>
              <w:jc w:val="right"/>
              <w:ind w:right="7"/>
              <w:spacing w:after="0" w:line="11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466,793</w:t>
            </w:r>
          </w:p>
        </w:tc>
        <w:tc>
          <w:tcPr>
            <w:tcW w:w="280" w:type="dxa"/>
            <w:vAlign w:val="bottom"/>
          </w:tcPr>
          <w:p>
            <w:pPr>
              <w:spacing w:after="0"/>
              <w:rPr>
                <w:sz w:val="10"/>
                <w:szCs w:val="10"/>
                <w:color w:val="auto"/>
              </w:rPr>
            </w:pPr>
          </w:p>
        </w:tc>
        <w:tc>
          <w:tcPr>
            <w:tcW w:w="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407,332</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8"/>
        </w:trPr>
        <w:tc>
          <w:tcPr>
            <w:tcW w:w="6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6127115</wp:posOffset>
            </wp:positionH>
            <wp:positionV relativeFrom="paragraph">
              <wp:posOffset>-27305</wp:posOffset>
            </wp:positionV>
            <wp:extent cx="3302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-27305</wp:posOffset>
            </wp:positionV>
            <wp:extent cx="3302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680"/>
          </w:cols>
          <w:pgMar w:left="1100" w:top="1440" w:right="1119" w:bottom="1440" w:gutter="0" w:footer="0" w:header="0"/>
        </w:sectPr>
      </w:pPr>
    </w:p>
    <w:bookmarkStart w:id="12" w:name="page13"/>
    <w:bookmarkEnd w:id="12"/>
    <w:p>
      <w:pPr>
        <w:spacing w:after="0" w:line="3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449580</wp:posOffset>
            </wp:positionV>
            <wp:extent cx="1344295" cy="698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344295" cy="698500"/>
                    </a:xfrm>
                    <a:prstGeom prst="rect">
                      <a:avLst/>
                    </a:prstGeom>
                    <a:noFill/>
                  </pic:spPr>
                </pic:pic>
              </a:graphicData>
            </a:graphic>
          </wp:anchor>
        </w:drawing>
      </w:r>
    </w:p>
    <w:p>
      <w:pPr>
        <w:ind w:left="1160" w:right="3280"/>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CONDENSED CONSOLIDATED STATEMENTS OF CASH FLOWS </w:t>
      </w:r>
      <w:r>
        <w:rPr>
          <w:rFonts w:ascii="Times New Roman" w:cs="Times New Roman" w:eastAsia="Times New Roman" w:hAnsi="Times New Roman"/>
          <w:sz w:val="17"/>
          <w:szCs w:val="17"/>
          <w:color w:val="auto"/>
        </w:rPr>
        <w:t>(unaudited;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00" w:type="dxa"/>
            <w:vAlign w:val="bottom"/>
            <w:gridSpan w:val="6"/>
          </w:tcPr>
          <w:p>
            <w:pPr>
              <w:jc w:val="right"/>
              <w:ind w:right="1440"/>
              <w:spacing w:after="0"/>
              <w:rPr>
                <w:sz w:val="20"/>
                <w:szCs w:val="20"/>
                <w:color w:val="auto"/>
              </w:rPr>
            </w:pPr>
            <w:r>
              <w:rPr>
                <w:rFonts w:ascii="Times New Roman" w:cs="Times New Roman" w:eastAsia="Times New Roman" w:hAnsi="Times New Roman"/>
                <w:sz w:val="12"/>
                <w:szCs w:val="12"/>
                <w:b w:val="1"/>
                <w:bCs w:val="1"/>
                <w:color w:val="auto"/>
              </w:rPr>
              <w:t>For the Six Months Ended June 30,</w:t>
            </w:r>
          </w:p>
        </w:tc>
        <w:tc>
          <w:tcPr>
            <w:tcW w:w="0" w:type="dxa"/>
            <w:vAlign w:val="bottom"/>
          </w:tcPr>
          <w:p>
            <w:pPr>
              <w:spacing w:after="0"/>
              <w:rPr>
                <w:sz w:val="1"/>
                <w:szCs w:val="1"/>
                <w:color w:val="auto"/>
              </w:rPr>
            </w:pPr>
          </w:p>
        </w:tc>
      </w:tr>
      <w:tr>
        <w:trPr>
          <w:trHeight w:val="122"/>
        </w:trPr>
        <w:tc>
          <w:tcPr>
            <w:tcW w:w="6240" w:type="dxa"/>
            <w:vAlign w:val="bottom"/>
            <w:vMerge w:val="restart"/>
          </w:tcPr>
          <w:p>
            <w:pPr>
              <w:ind w:left="116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14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341"/>
              <w:spacing w:after="0" w:line="122" w:lineRule="exact"/>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341"/>
              <w:spacing w:after="0" w:line="122" w:lineRule="exact"/>
              <w:rPr>
                <w:sz w:val="20"/>
                <w:szCs w:val="20"/>
                <w:color w:val="auto"/>
              </w:rPr>
            </w:pPr>
            <w:r>
              <w:rPr>
                <w:rFonts w:ascii="Times New Roman" w:cs="Times New Roman" w:eastAsia="Times New Roman" w:hAnsi="Times New Roman"/>
                <w:sz w:val="12"/>
                <w:szCs w:val="12"/>
                <w:b w:val="1"/>
                <w:bCs w:val="1"/>
                <w:color w:val="auto"/>
              </w:rPr>
              <w:t>2024</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62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1320"/>
              <w:spacing w:after="0" w:line="130" w:lineRule="exact"/>
              <w:rPr>
                <w:sz w:val="20"/>
                <w:szCs w:val="20"/>
                <w:color w:val="auto"/>
              </w:rPr>
            </w:pPr>
            <w:r>
              <w:rPr>
                <w:rFonts w:ascii="Times New Roman" w:cs="Times New Roman" w:eastAsia="Times New Roman" w:hAnsi="Times New Roman"/>
                <w:sz w:val="12"/>
                <w:szCs w:val="12"/>
                <w:color w:val="auto"/>
              </w:rPr>
              <w:t>Net loss</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(123,871)</w:t>
            </w:r>
          </w:p>
        </w:tc>
        <w:tc>
          <w:tcPr>
            <w:tcW w:w="280" w:type="dxa"/>
            <w:vAlign w:val="bottom"/>
            <w:gridSpan w:val="2"/>
          </w:tcPr>
          <w:p>
            <w:pPr>
              <w:jc w:val="right"/>
              <w:ind w:right="107"/>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20" w:type="dxa"/>
            <w:vAlign w:val="bottom"/>
            <w:gridSpan w:val="2"/>
          </w:tcPr>
          <w:p>
            <w:pPr>
              <w:jc w:val="right"/>
              <w:ind w:right="1180"/>
              <w:spacing w:after="0" w:line="130" w:lineRule="exact"/>
              <w:rPr>
                <w:sz w:val="20"/>
                <w:szCs w:val="20"/>
                <w:color w:val="auto"/>
              </w:rPr>
            </w:pPr>
            <w:r>
              <w:rPr>
                <w:rFonts w:ascii="Times New Roman" w:cs="Times New Roman" w:eastAsia="Times New Roman" w:hAnsi="Times New Roman"/>
                <w:sz w:val="12"/>
                <w:szCs w:val="12"/>
                <w:color w:val="auto"/>
              </w:rPr>
              <w:t>(106,224)</w:t>
            </w:r>
          </w:p>
        </w:tc>
        <w:tc>
          <w:tcPr>
            <w:tcW w:w="0" w:type="dxa"/>
            <w:vAlign w:val="bottom"/>
          </w:tcPr>
          <w:p>
            <w:pPr>
              <w:spacing w:after="0"/>
              <w:rPr>
                <w:sz w:val="1"/>
                <w:szCs w:val="1"/>
                <w:color w:val="auto"/>
              </w:rPr>
            </w:pPr>
          </w:p>
        </w:tc>
      </w:tr>
      <w:tr>
        <w:trPr>
          <w:trHeight w:val="130"/>
        </w:trPr>
        <w:tc>
          <w:tcPr>
            <w:tcW w:w="6240" w:type="dxa"/>
            <w:vAlign w:val="bottom"/>
          </w:tcPr>
          <w:p>
            <w:pPr>
              <w:ind w:left="1460"/>
              <w:spacing w:after="0" w:line="130" w:lineRule="exact"/>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1620"/>
              <w:spacing w:after="0" w:line="130"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7,916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3,037</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1620"/>
              <w:spacing w:after="0" w:line="130" w:lineRule="exact"/>
              <w:rPr>
                <w:sz w:val="20"/>
                <w:szCs w:val="20"/>
                <w:color w:val="auto"/>
              </w:rPr>
            </w:pPr>
            <w:r>
              <w:rPr>
                <w:rFonts w:ascii="Times New Roman" w:cs="Times New Roman" w:eastAsia="Times New Roman" w:hAnsi="Times New Roman"/>
                <w:sz w:val="12"/>
                <w:szCs w:val="12"/>
                <w:color w:val="auto"/>
              </w:rPr>
              <w:t>Loss on sale of fixed assets</w:t>
            </w: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22</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1620"/>
              <w:spacing w:after="0" w:line="130" w:lineRule="exact"/>
              <w:rPr>
                <w:sz w:val="20"/>
                <w:szCs w:val="20"/>
                <w:color w:val="auto"/>
              </w:rPr>
            </w:pPr>
            <w:r>
              <w:rPr>
                <w:rFonts w:ascii="Times New Roman" w:cs="Times New Roman" w:eastAsia="Times New Roman" w:hAnsi="Times New Roman"/>
                <w:sz w:val="12"/>
                <w:szCs w:val="12"/>
                <w:color w:val="auto"/>
              </w:rPr>
              <w:t>Stock-based compensation</w:t>
            </w:r>
          </w:p>
        </w:tc>
        <w:tc>
          <w:tcPr>
            <w:tcW w:w="14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1,191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834</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1620"/>
              <w:spacing w:after="0" w:line="130" w:lineRule="exact"/>
              <w:rPr>
                <w:sz w:val="20"/>
                <w:szCs w:val="20"/>
                <w:color w:val="auto"/>
              </w:rPr>
            </w:pPr>
            <w:r>
              <w:rPr>
                <w:rFonts w:ascii="Times New Roman" w:cs="Times New Roman" w:eastAsia="Times New Roman" w:hAnsi="Times New Roman"/>
                <w:sz w:val="12"/>
                <w:szCs w:val="12"/>
                <w:color w:val="auto"/>
              </w:rPr>
              <w:t>Change in fair value of warrant liability</w:t>
            </w:r>
          </w:p>
        </w:tc>
        <w:tc>
          <w:tcPr>
            <w:tcW w:w="14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5,107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20" w:type="dxa"/>
            <w:vAlign w:val="bottom"/>
            <w:gridSpan w:val="2"/>
          </w:tcPr>
          <w:p>
            <w:pPr>
              <w:jc w:val="right"/>
              <w:ind w:right="1180"/>
              <w:spacing w:after="0" w:line="130" w:lineRule="exact"/>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30"/>
        </w:trPr>
        <w:tc>
          <w:tcPr>
            <w:tcW w:w="6240" w:type="dxa"/>
            <w:vAlign w:val="bottom"/>
          </w:tcPr>
          <w:p>
            <w:pPr>
              <w:ind w:left="1620"/>
              <w:spacing w:after="0" w:line="130" w:lineRule="exact"/>
              <w:rPr>
                <w:sz w:val="20"/>
                <w:szCs w:val="20"/>
                <w:color w:val="auto"/>
              </w:rPr>
            </w:pPr>
            <w:r>
              <w:rPr>
                <w:rFonts w:ascii="Times New Roman" w:cs="Times New Roman" w:eastAsia="Times New Roman" w:hAnsi="Times New Roman"/>
                <w:sz w:val="12"/>
                <w:szCs w:val="12"/>
                <w:color w:val="auto"/>
              </w:rPr>
              <w:t>Non-cash interest expense</w:t>
            </w:r>
          </w:p>
        </w:tc>
        <w:tc>
          <w:tcPr>
            <w:tcW w:w="14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3,586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4,088</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1620"/>
              <w:spacing w:after="0" w:line="130" w:lineRule="exact"/>
              <w:rPr>
                <w:sz w:val="20"/>
                <w:szCs w:val="20"/>
                <w:color w:val="auto"/>
              </w:rPr>
            </w:pPr>
            <w:r>
              <w:rPr>
                <w:rFonts w:ascii="Times New Roman" w:cs="Times New Roman" w:eastAsia="Times New Roman" w:hAnsi="Times New Roman"/>
                <w:sz w:val="12"/>
                <w:szCs w:val="12"/>
                <w:color w:val="auto"/>
              </w:rPr>
              <w:t>Non-cash inventory write-off</w:t>
            </w: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247</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1620"/>
              <w:spacing w:after="0" w:line="130" w:lineRule="exact"/>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1780"/>
              <w:spacing w:after="0" w:line="130" w:lineRule="exact"/>
              <w:rPr>
                <w:sz w:val="20"/>
                <w:szCs w:val="20"/>
                <w:color w:val="auto"/>
              </w:rPr>
            </w:pPr>
            <w:r>
              <w:rPr>
                <w:rFonts w:ascii="Times New Roman" w:cs="Times New Roman" w:eastAsia="Times New Roman" w:hAnsi="Times New Roman"/>
                <w:sz w:val="12"/>
                <w:szCs w:val="12"/>
                <w:color w:val="auto"/>
              </w:rPr>
              <w:t>Accounts receivable</w:t>
            </w:r>
          </w:p>
        </w:tc>
        <w:tc>
          <w:tcPr>
            <w:tcW w:w="14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(4,634)</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20" w:type="dxa"/>
            <w:vAlign w:val="bottom"/>
            <w:gridSpan w:val="2"/>
          </w:tcPr>
          <w:p>
            <w:pPr>
              <w:jc w:val="right"/>
              <w:ind w:right="1180"/>
              <w:spacing w:after="0" w:line="130" w:lineRule="exact"/>
              <w:rPr>
                <w:sz w:val="20"/>
                <w:szCs w:val="20"/>
                <w:color w:val="auto"/>
              </w:rPr>
            </w:pPr>
            <w:r>
              <w:rPr>
                <w:rFonts w:ascii="Times New Roman" w:cs="Times New Roman" w:eastAsia="Times New Roman" w:hAnsi="Times New Roman"/>
                <w:sz w:val="12"/>
                <w:szCs w:val="12"/>
                <w:color w:val="auto"/>
              </w:rPr>
              <w:t>(3,660)</w:t>
            </w:r>
          </w:p>
        </w:tc>
        <w:tc>
          <w:tcPr>
            <w:tcW w:w="0" w:type="dxa"/>
            <w:vAlign w:val="bottom"/>
          </w:tcPr>
          <w:p>
            <w:pPr>
              <w:spacing w:after="0"/>
              <w:rPr>
                <w:sz w:val="1"/>
                <w:szCs w:val="1"/>
                <w:color w:val="auto"/>
              </w:rPr>
            </w:pPr>
          </w:p>
        </w:tc>
      </w:tr>
      <w:tr>
        <w:trPr>
          <w:trHeight w:val="130"/>
        </w:trPr>
        <w:tc>
          <w:tcPr>
            <w:tcW w:w="6240" w:type="dxa"/>
            <w:vAlign w:val="bottom"/>
          </w:tcPr>
          <w:p>
            <w:pPr>
              <w:ind w:left="1780"/>
              <w:spacing w:after="0" w:line="130" w:lineRule="exact"/>
              <w:rPr>
                <w:sz w:val="20"/>
                <w:szCs w:val="20"/>
                <w:color w:val="auto"/>
              </w:rPr>
            </w:pPr>
            <w:r>
              <w:rPr>
                <w:rFonts w:ascii="Times New Roman" w:cs="Times New Roman" w:eastAsia="Times New Roman" w:hAnsi="Times New Roman"/>
                <w:sz w:val="12"/>
                <w:szCs w:val="12"/>
                <w:color w:val="auto"/>
              </w:rPr>
              <w:t>Advanced payments</w:t>
            </w:r>
          </w:p>
        </w:tc>
        <w:tc>
          <w:tcPr>
            <w:tcW w:w="14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38,778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20" w:type="dxa"/>
            <w:vAlign w:val="bottom"/>
            <w:gridSpan w:val="2"/>
          </w:tcPr>
          <w:p>
            <w:pPr>
              <w:jc w:val="right"/>
              <w:ind w:right="1180"/>
              <w:spacing w:after="0" w:line="130" w:lineRule="exact"/>
              <w:rPr>
                <w:sz w:val="20"/>
                <w:szCs w:val="20"/>
                <w:color w:val="auto"/>
              </w:rPr>
            </w:pPr>
            <w:r>
              <w:rPr>
                <w:rFonts w:ascii="Times New Roman" w:cs="Times New Roman" w:eastAsia="Times New Roman" w:hAnsi="Times New Roman"/>
                <w:sz w:val="12"/>
                <w:szCs w:val="12"/>
                <w:color w:val="auto"/>
              </w:rPr>
              <w:t>(16,261)</w:t>
            </w:r>
          </w:p>
        </w:tc>
        <w:tc>
          <w:tcPr>
            <w:tcW w:w="0" w:type="dxa"/>
            <w:vAlign w:val="bottom"/>
          </w:tcPr>
          <w:p>
            <w:pPr>
              <w:spacing w:after="0"/>
              <w:rPr>
                <w:sz w:val="1"/>
                <w:szCs w:val="1"/>
                <w:color w:val="auto"/>
              </w:rPr>
            </w:pPr>
          </w:p>
        </w:tc>
      </w:tr>
      <w:tr>
        <w:trPr>
          <w:trHeight w:val="130"/>
        </w:trPr>
        <w:tc>
          <w:tcPr>
            <w:tcW w:w="6240" w:type="dxa"/>
            <w:vAlign w:val="bottom"/>
          </w:tcPr>
          <w:p>
            <w:pPr>
              <w:ind w:left="1780"/>
              <w:spacing w:after="0" w:line="130" w:lineRule="exact"/>
              <w:rPr>
                <w:sz w:val="20"/>
                <w:szCs w:val="20"/>
                <w:color w:val="auto"/>
              </w:rPr>
            </w:pPr>
            <w:r>
              <w:rPr>
                <w:rFonts w:ascii="Times New Roman" w:cs="Times New Roman" w:eastAsia="Times New Roman" w:hAnsi="Times New Roman"/>
                <w:sz w:val="12"/>
                <w:szCs w:val="12"/>
                <w:color w:val="auto"/>
              </w:rPr>
              <w:t>Other assets</w:t>
            </w:r>
          </w:p>
        </w:tc>
        <w:tc>
          <w:tcPr>
            <w:tcW w:w="14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(4,238)</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6,303</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1780"/>
              <w:spacing w:after="0" w:line="130" w:lineRule="exact"/>
              <w:rPr>
                <w:sz w:val="20"/>
                <w:szCs w:val="20"/>
                <w:color w:val="auto"/>
              </w:rPr>
            </w:pPr>
            <w:r>
              <w:rPr>
                <w:rFonts w:ascii="Times New Roman" w:cs="Times New Roman" w:eastAsia="Times New Roman" w:hAnsi="Times New Roman"/>
                <w:sz w:val="12"/>
                <w:szCs w:val="12"/>
                <w:color w:val="auto"/>
              </w:rPr>
              <w:t>Accounts payable</w:t>
            </w:r>
          </w:p>
        </w:tc>
        <w:tc>
          <w:tcPr>
            <w:tcW w:w="14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(3,344)</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3,320</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1780"/>
              <w:spacing w:after="0" w:line="130" w:lineRule="exact"/>
              <w:rPr>
                <w:sz w:val="20"/>
                <w:szCs w:val="20"/>
                <w:color w:val="auto"/>
              </w:rPr>
            </w:pPr>
            <w:r>
              <w:rPr>
                <w:rFonts w:ascii="Times New Roman" w:cs="Times New Roman" w:eastAsia="Times New Roman" w:hAnsi="Times New Roman"/>
                <w:sz w:val="12"/>
                <w:szCs w:val="12"/>
                <w:color w:val="auto"/>
              </w:rPr>
              <w:t>Accounts payable - related parties</w:t>
            </w:r>
          </w:p>
        </w:tc>
        <w:tc>
          <w:tcPr>
            <w:tcW w:w="14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355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701</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1780"/>
              <w:spacing w:after="0" w:line="130" w:lineRule="exact"/>
              <w:rPr>
                <w:sz w:val="20"/>
                <w:szCs w:val="20"/>
                <w:color w:val="auto"/>
              </w:rPr>
            </w:pPr>
            <w:r>
              <w:rPr>
                <w:rFonts w:ascii="Times New Roman" w:cs="Times New Roman" w:eastAsia="Times New Roman" w:hAnsi="Times New Roman"/>
                <w:sz w:val="12"/>
                <w:szCs w:val="12"/>
                <w:color w:val="auto"/>
              </w:rPr>
              <w:t>Accrued expenses</w:t>
            </w:r>
          </w:p>
        </w:tc>
        <w:tc>
          <w:tcPr>
            <w:tcW w:w="14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2,245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119</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1780"/>
              <w:spacing w:after="0" w:line="130" w:lineRule="exact"/>
              <w:rPr>
                <w:sz w:val="20"/>
                <w:szCs w:val="20"/>
                <w:color w:val="auto"/>
              </w:rPr>
            </w:pPr>
            <w:r>
              <w:rPr>
                <w:rFonts w:ascii="Times New Roman" w:cs="Times New Roman" w:eastAsia="Times New Roman" w:hAnsi="Times New Roman"/>
                <w:sz w:val="12"/>
                <w:szCs w:val="12"/>
                <w:color w:val="auto"/>
              </w:rPr>
              <w:t>Other liabilities</w:t>
            </w:r>
          </w:p>
        </w:tc>
        <w:tc>
          <w:tcPr>
            <w:tcW w:w="14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(11,190)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19,334</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1780"/>
              <w:spacing w:after="0" w:line="130" w:lineRule="exact"/>
              <w:rPr>
                <w:sz w:val="20"/>
                <w:szCs w:val="20"/>
                <w:color w:val="auto"/>
              </w:rPr>
            </w:pPr>
            <w:r>
              <w:rPr>
                <w:rFonts w:ascii="Times New Roman" w:cs="Times New Roman" w:eastAsia="Times New Roman" w:hAnsi="Times New Roman"/>
                <w:sz w:val="12"/>
                <w:szCs w:val="12"/>
                <w:color w:val="auto"/>
              </w:rPr>
              <w:t>Right-of-use assets</w:t>
            </w:r>
          </w:p>
        </w:tc>
        <w:tc>
          <w:tcPr>
            <w:tcW w:w="14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986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1,744</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1780"/>
              <w:spacing w:after="0" w:line="130" w:lineRule="exact"/>
              <w:rPr>
                <w:sz w:val="20"/>
                <w:szCs w:val="20"/>
                <w:color w:val="auto"/>
              </w:rPr>
            </w:pPr>
            <w:r>
              <w:rPr>
                <w:rFonts w:ascii="Times New Roman" w:cs="Times New Roman" w:eastAsia="Times New Roman" w:hAnsi="Times New Roman"/>
                <w:sz w:val="12"/>
                <w:szCs w:val="12"/>
                <w:color w:val="auto"/>
              </w:rPr>
              <w:t>Lease liabilities</w:t>
            </w:r>
          </w:p>
        </w:tc>
        <w:tc>
          <w:tcPr>
            <w:tcW w:w="14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(2,063)</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20" w:type="dxa"/>
            <w:vAlign w:val="bottom"/>
            <w:gridSpan w:val="2"/>
          </w:tcPr>
          <w:p>
            <w:pPr>
              <w:jc w:val="right"/>
              <w:ind w:right="1180"/>
              <w:spacing w:after="0" w:line="130" w:lineRule="exact"/>
              <w:rPr>
                <w:sz w:val="20"/>
                <w:szCs w:val="20"/>
                <w:color w:val="auto"/>
              </w:rPr>
            </w:pPr>
            <w:r>
              <w:rPr>
                <w:rFonts w:ascii="Times New Roman" w:cs="Times New Roman" w:eastAsia="Times New Roman" w:hAnsi="Times New Roman"/>
                <w:sz w:val="12"/>
                <w:szCs w:val="12"/>
                <w:color w:val="auto"/>
              </w:rPr>
              <w:t>(3,323)</w:t>
            </w:r>
          </w:p>
        </w:tc>
        <w:tc>
          <w:tcPr>
            <w:tcW w:w="0" w:type="dxa"/>
            <w:vAlign w:val="bottom"/>
          </w:tcPr>
          <w:p>
            <w:pPr>
              <w:spacing w:after="0"/>
              <w:rPr>
                <w:sz w:val="1"/>
                <w:szCs w:val="1"/>
                <w:color w:val="auto"/>
              </w:rPr>
            </w:pPr>
          </w:p>
        </w:tc>
      </w:tr>
      <w:tr>
        <w:trPr>
          <w:trHeight w:val="141"/>
        </w:trPr>
        <w:tc>
          <w:tcPr>
            <w:tcW w:w="6240" w:type="dxa"/>
            <w:vAlign w:val="bottom"/>
          </w:tcPr>
          <w:p>
            <w:pPr>
              <w:ind w:left="1780"/>
              <w:spacing w:after="0"/>
              <w:rPr>
                <w:sz w:val="20"/>
                <w:szCs w:val="20"/>
                <w:color w:val="auto"/>
              </w:rPr>
            </w:pPr>
            <w:r>
              <w:rPr>
                <w:rFonts w:ascii="Times New Roman" w:cs="Times New Roman" w:eastAsia="Times New Roman" w:hAnsi="Times New Roman"/>
                <w:sz w:val="12"/>
                <w:szCs w:val="12"/>
                <w:color w:val="auto"/>
              </w:rPr>
              <w:t>Deferred revenue</w:t>
            </w: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4,557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8,935</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6240" w:type="dxa"/>
            <w:vAlign w:val="bottom"/>
          </w:tcPr>
          <w:p>
            <w:pPr>
              <w:ind w:left="1940"/>
              <w:spacing w:after="0" w:line="109" w:lineRule="exact"/>
              <w:rPr>
                <w:sz w:val="20"/>
                <w:szCs w:val="20"/>
                <w:color w:val="auto"/>
              </w:rPr>
            </w:pPr>
            <w:r>
              <w:rPr>
                <w:rFonts w:ascii="Times New Roman" w:cs="Times New Roman" w:eastAsia="Times New Roman" w:hAnsi="Times New Roman"/>
                <w:sz w:val="12"/>
                <w:szCs w:val="12"/>
                <w:b w:val="1"/>
                <w:bCs w:val="1"/>
                <w:color w:val="auto"/>
              </w:rPr>
              <w:t>Net cash used in operating activities</w:t>
            </w:r>
          </w:p>
        </w:tc>
        <w:tc>
          <w:tcPr>
            <w:tcW w:w="140" w:type="dxa"/>
            <w:vAlign w:val="bottom"/>
          </w:tcPr>
          <w:p>
            <w:pPr>
              <w:jc w:val="right"/>
              <w:ind w:right="27"/>
              <w:spacing w:after="0" w:line="109"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(84,619)</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jc w:val="right"/>
              <w:ind w:right="107"/>
              <w:spacing w:after="0" w:line="109"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(80,815)</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240" w:type="dxa"/>
            <w:vAlign w:val="bottom"/>
          </w:tcPr>
          <w:p>
            <w:pPr>
              <w:ind w:left="1160"/>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240" w:type="dxa"/>
            <w:vAlign w:val="bottom"/>
          </w:tcPr>
          <w:p>
            <w:pPr>
              <w:ind w:left="1460"/>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1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(11,837)</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2"/>
          </w:tcPr>
          <w:p>
            <w:pPr>
              <w:jc w:val="right"/>
              <w:ind w:right="1180"/>
              <w:spacing w:after="0"/>
              <w:rPr>
                <w:sz w:val="20"/>
                <w:szCs w:val="20"/>
                <w:color w:val="auto"/>
              </w:rPr>
            </w:pPr>
            <w:r>
              <w:rPr>
                <w:rFonts w:ascii="Times New Roman" w:cs="Times New Roman" w:eastAsia="Times New Roman" w:hAnsi="Times New Roman"/>
                <w:sz w:val="12"/>
                <w:szCs w:val="12"/>
                <w:color w:val="auto"/>
              </w:rPr>
              <w:t>(21,834)</w:t>
            </w:r>
          </w:p>
        </w:tc>
        <w:tc>
          <w:tcPr>
            <w:tcW w:w="0" w:type="dxa"/>
            <w:vAlign w:val="bottom"/>
          </w:tcPr>
          <w:p>
            <w:pPr>
              <w:spacing w:after="0"/>
              <w:rPr>
                <w:sz w:val="1"/>
                <w:szCs w:val="1"/>
                <w:color w:val="auto"/>
              </w:rPr>
            </w:pPr>
          </w:p>
        </w:tc>
      </w:tr>
      <w:tr>
        <w:trPr>
          <w:trHeight w:val="109"/>
        </w:trPr>
        <w:tc>
          <w:tcPr>
            <w:tcW w:w="6240" w:type="dxa"/>
            <w:vAlign w:val="bottom"/>
          </w:tcPr>
          <w:p>
            <w:pPr>
              <w:ind w:left="1940"/>
              <w:spacing w:after="0" w:line="109" w:lineRule="exact"/>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140" w:type="dxa"/>
            <w:vAlign w:val="bottom"/>
            <w:tcBorders>
              <w:top w:val="single" w:sz="8" w:color="auto"/>
            </w:tcBorders>
          </w:tcPr>
          <w:p>
            <w:pPr>
              <w:jc w:val="right"/>
              <w:ind w:right="27"/>
              <w:spacing w:after="0" w:line="109"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(11,837)</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top w:val="single" w:sz="8" w:color="auto"/>
            </w:tcBorders>
          </w:tcPr>
          <w:p>
            <w:pPr>
              <w:jc w:val="right"/>
              <w:ind w:right="107"/>
              <w:spacing w:after="0" w:line="109"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(21,834)</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240" w:type="dxa"/>
            <w:vAlign w:val="bottom"/>
          </w:tcPr>
          <w:p>
            <w:pPr>
              <w:ind w:left="1160"/>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1460"/>
              <w:spacing w:after="0" w:line="130" w:lineRule="exact"/>
              <w:rPr>
                <w:sz w:val="20"/>
                <w:szCs w:val="20"/>
                <w:color w:val="auto"/>
              </w:rPr>
            </w:pPr>
            <w:r>
              <w:rPr>
                <w:rFonts w:ascii="Times New Roman" w:cs="Times New Roman" w:eastAsia="Times New Roman" w:hAnsi="Times New Roman"/>
                <w:sz w:val="12"/>
                <w:szCs w:val="12"/>
                <w:color w:val="auto"/>
              </w:rPr>
              <w:t>Proceeds from issuance of preferred stock</w:t>
            </w:r>
          </w:p>
        </w:tc>
        <w:tc>
          <w:tcPr>
            <w:tcW w:w="14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184,116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22,186</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1460"/>
              <w:spacing w:after="0" w:line="130" w:lineRule="exact"/>
              <w:rPr>
                <w:sz w:val="20"/>
                <w:szCs w:val="20"/>
                <w:color w:val="auto"/>
              </w:rPr>
            </w:pPr>
            <w:r>
              <w:rPr>
                <w:rFonts w:ascii="Times New Roman" w:cs="Times New Roman" w:eastAsia="Times New Roman" w:hAnsi="Times New Roman"/>
                <w:sz w:val="12"/>
                <w:szCs w:val="12"/>
                <w:color w:val="auto"/>
              </w:rPr>
              <w:t>Principal payments on finance leases</w:t>
            </w:r>
          </w:p>
        </w:tc>
        <w:tc>
          <w:tcPr>
            <w:tcW w:w="14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(883)</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20" w:type="dxa"/>
            <w:vAlign w:val="bottom"/>
            <w:gridSpan w:val="2"/>
          </w:tcPr>
          <w:p>
            <w:pPr>
              <w:jc w:val="right"/>
              <w:ind w:right="1180"/>
              <w:spacing w:after="0" w:line="130" w:lineRule="exact"/>
              <w:rPr>
                <w:sz w:val="20"/>
                <w:szCs w:val="20"/>
                <w:color w:val="auto"/>
              </w:rPr>
            </w:pPr>
            <w:r>
              <w:rPr>
                <w:rFonts w:ascii="Times New Roman" w:cs="Times New Roman" w:eastAsia="Times New Roman" w:hAnsi="Times New Roman"/>
                <w:sz w:val="12"/>
                <w:szCs w:val="12"/>
                <w:color w:val="auto"/>
              </w:rPr>
              <w:t>(398)</w:t>
            </w:r>
          </w:p>
        </w:tc>
        <w:tc>
          <w:tcPr>
            <w:tcW w:w="0" w:type="dxa"/>
            <w:vAlign w:val="bottom"/>
          </w:tcPr>
          <w:p>
            <w:pPr>
              <w:spacing w:after="0"/>
              <w:rPr>
                <w:sz w:val="1"/>
                <w:szCs w:val="1"/>
                <w:color w:val="auto"/>
              </w:rPr>
            </w:pPr>
          </w:p>
        </w:tc>
      </w:tr>
      <w:tr>
        <w:trPr>
          <w:trHeight w:val="130"/>
        </w:trPr>
        <w:tc>
          <w:tcPr>
            <w:tcW w:w="6240" w:type="dxa"/>
            <w:vAlign w:val="bottom"/>
          </w:tcPr>
          <w:p>
            <w:pPr>
              <w:ind w:left="1460"/>
              <w:spacing w:after="0" w:line="130" w:lineRule="exact"/>
              <w:rPr>
                <w:sz w:val="20"/>
                <w:szCs w:val="20"/>
                <w:color w:val="auto"/>
              </w:rPr>
            </w:pPr>
            <w:r>
              <w:rPr>
                <w:rFonts w:ascii="Times New Roman" w:cs="Times New Roman" w:eastAsia="Times New Roman" w:hAnsi="Times New Roman"/>
                <w:sz w:val="12"/>
                <w:szCs w:val="12"/>
                <w:color w:val="auto"/>
              </w:rPr>
              <w:t>Proceeds from notes payable</w:t>
            </w: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24,599</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1460"/>
              <w:spacing w:after="0" w:line="130" w:lineRule="exact"/>
              <w:rPr>
                <w:sz w:val="20"/>
                <w:szCs w:val="20"/>
                <w:color w:val="auto"/>
              </w:rPr>
            </w:pPr>
            <w:r>
              <w:rPr>
                <w:rFonts w:ascii="Times New Roman" w:cs="Times New Roman" w:eastAsia="Times New Roman" w:hAnsi="Times New Roman"/>
                <w:sz w:val="12"/>
                <w:szCs w:val="12"/>
                <w:color w:val="auto"/>
              </w:rPr>
              <w:t>Payments on notes payable</w:t>
            </w:r>
          </w:p>
        </w:tc>
        <w:tc>
          <w:tcPr>
            <w:tcW w:w="14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(3,195)</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20" w:type="dxa"/>
            <w:vAlign w:val="bottom"/>
            <w:gridSpan w:val="2"/>
          </w:tcPr>
          <w:p>
            <w:pPr>
              <w:jc w:val="right"/>
              <w:ind w:right="1180"/>
              <w:spacing w:after="0" w:line="130" w:lineRule="exact"/>
              <w:rPr>
                <w:sz w:val="20"/>
                <w:szCs w:val="20"/>
                <w:color w:val="auto"/>
              </w:rPr>
            </w:pPr>
            <w:r>
              <w:rPr>
                <w:rFonts w:ascii="Times New Roman" w:cs="Times New Roman" w:eastAsia="Times New Roman" w:hAnsi="Times New Roman"/>
                <w:sz w:val="12"/>
                <w:szCs w:val="12"/>
                <w:color w:val="auto"/>
              </w:rPr>
              <w:t>(1,008)</w:t>
            </w:r>
          </w:p>
        </w:tc>
        <w:tc>
          <w:tcPr>
            <w:tcW w:w="0" w:type="dxa"/>
            <w:vAlign w:val="bottom"/>
          </w:tcPr>
          <w:p>
            <w:pPr>
              <w:spacing w:after="0"/>
              <w:rPr>
                <w:sz w:val="1"/>
                <w:szCs w:val="1"/>
                <w:color w:val="auto"/>
              </w:rPr>
            </w:pPr>
          </w:p>
        </w:tc>
      </w:tr>
      <w:tr>
        <w:trPr>
          <w:trHeight w:val="130"/>
        </w:trPr>
        <w:tc>
          <w:tcPr>
            <w:tcW w:w="6240" w:type="dxa"/>
            <w:vAlign w:val="bottom"/>
          </w:tcPr>
          <w:p>
            <w:pPr>
              <w:ind w:left="1460"/>
              <w:spacing w:after="0" w:line="130" w:lineRule="exact"/>
              <w:rPr>
                <w:sz w:val="20"/>
                <w:szCs w:val="20"/>
                <w:color w:val="auto"/>
              </w:rPr>
            </w:pPr>
            <w:r>
              <w:rPr>
                <w:rFonts w:ascii="Times New Roman" w:cs="Times New Roman" w:eastAsia="Times New Roman" w:hAnsi="Times New Roman"/>
                <w:sz w:val="12"/>
                <w:szCs w:val="12"/>
                <w:color w:val="auto"/>
              </w:rPr>
              <w:t>Payments of debt issuance costs</w:t>
            </w:r>
          </w:p>
        </w:tc>
        <w:tc>
          <w:tcPr>
            <w:tcW w:w="14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(575)</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20" w:type="dxa"/>
            <w:vAlign w:val="bottom"/>
            <w:gridSpan w:val="2"/>
          </w:tcPr>
          <w:p>
            <w:pPr>
              <w:jc w:val="right"/>
              <w:ind w:right="1180"/>
              <w:spacing w:after="0" w:line="130" w:lineRule="exact"/>
              <w:rPr>
                <w:sz w:val="20"/>
                <w:szCs w:val="20"/>
                <w:color w:val="auto"/>
              </w:rPr>
            </w:pPr>
            <w:r>
              <w:rPr>
                <w:rFonts w:ascii="Times New Roman" w:cs="Times New Roman" w:eastAsia="Times New Roman" w:hAnsi="Times New Roman"/>
                <w:sz w:val="12"/>
                <w:szCs w:val="12"/>
                <w:color w:val="auto"/>
              </w:rPr>
              <w:t>(2,001)</w:t>
            </w:r>
          </w:p>
        </w:tc>
        <w:tc>
          <w:tcPr>
            <w:tcW w:w="0" w:type="dxa"/>
            <w:vAlign w:val="bottom"/>
          </w:tcPr>
          <w:p>
            <w:pPr>
              <w:spacing w:after="0"/>
              <w:rPr>
                <w:sz w:val="1"/>
                <w:szCs w:val="1"/>
                <w:color w:val="auto"/>
              </w:rPr>
            </w:pPr>
          </w:p>
        </w:tc>
      </w:tr>
      <w:tr>
        <w:trPr>
          <w:trHeight w:val="130"/>
        </w:trPr>
        <w:tc>
          <w:tcPr>
            <w:tcW w:w="6240" w:type="dxa"/>
            <w:vAlign w:val="bottom"/>
          </w:tcPr>
          <w:p>
            <w:pPr>
              <w:ind w:left="1460"/>
              <w:spacing w:after="0" w:line="130" w:lineRule="exact"/>
              <w:rPr>
                <w:sz w:val="20"/>
                <w:szCs w:val="20"/>
                <w:color w:val="auto"/>
              </w:rPr>
            </w:pPr>
            <w:r>
              <w:rPr>
                <w:rFonts w:ascii="Times New Roman" w:cs="Times New Roman" w:eastAsia="Times New Roman" w:hAnsi="Times New Roman"/>
                <w:sz w:val="12"/>
                <w:szCs w:val="12"/>
                <w:color w:val="auto"/>
              </w:rPr>
              <w:t>Proceeds from repayment of employee note</w:t>
            </w:r>
          </w:p>
        </w:tc>
        <w:tc>
          <w:tcPr>
            <w:tcW w:w="14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383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123</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240" w:type="dxa"/>
            <w:vAlign w:val="bottom"/>
          </w:tcPr>
          <w:p>
            <w:pPr>
              <w:ind w:left="1460"/>
              <w:spacing w:after="0"/>
              <w:rPr>
                <w:sz w:val="20"/>
                <w:szCs w:val="20"/>
                <w:color w:val="auto"/>
              </w:rPr>
            </w:pPr>
            <w:r>
              <w:rPr>
                <w:rFonts w:ascii="Times New Roman" w:cs="Times New Roman" w:eastAsia="Times New Roman" w:hAnsi="Times New Roman"/>
                <w:sz w:val="12"/>
                <w:szCs w:val="12"/>
                <w:color w:val="auto"/>
              </w:rPr>
              <w:t>Proceeds from exercise of stock options</w:t>
            </w: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40" w:type="dxa"/>
            <w:vAlign w:val="bottom"/>
          </w:tcPr>
          <w:p>
            <w:pPr>
              <w:ind w:left="1940"/>
              <w:spacing w:after="0" w:line="122" w:lineRule="exact"/>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140" w:type="dxa"/>
            <w:vAlign w:val="bottom"/>
            <w:tcBorders>
              <w:bottom w:val="single" w:sz="8" w:color="auto"/>
            </w:tcBorders>
          </w:tcPr>
          <w:p>
            <w:pPr>
              <w:jc w:val="right"/>
              <w:ind w:right="2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180,441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auto"/>
            </w:tcBorders>
          </w:tcPr>
          <w:p>
            <w:pPr>
              <w:jc w:val="right"/>
              <w:ind w:right="10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43,816</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40" w:type="dxa"/>
            <w:vAlign w:val="bottom"/>
          </w:tcPr>
          <w:p>
            <w:pPr>
              <w:ind w:left="1160"/>
              <w:spacing w:after="0" w:line="122" w:lineRule="exact"/>
              <w:rPr>
                <w:sz w:val="20"/>
                <w:szCs w:val="20"/>
                <w:color w:val="auto"/>
              </w:rPr>
            </w:pPr>
            <w:r>
              <w:rPr>
                <w:rFonts w:ascii="Times New Roman" w:cs="Times New Roman" w:eastAsia="Times New Roman" w:hAnsi="Times New Roman"/>
                <w:sz w:val="12"/>
                <w:szCs w:val="12"/>
                <w:b w:val="1"/>
                <w:bCs w:val="1"/>
                <w:color w:val="auto"/>
              </w:rPr>
              <w:t>Net increase (decrease) in cash and cash equivalents and restricted cash</w:t>
            </w:r>
          </w:p>
        </w:tc>
        <w:tc>
          <w:tcPr>
            <w:tcW w:w="140" w:type="dxa"/>
            <w:vAlign w:val="bottom"/>
            <w:tcBorders>
              <w:bottom w:val="single" w:sz="8" w:color="auto"/>
            </w:tcBorders>
          </w:tcPr>
          <w:p>
            <w:pPr>
              <w:jc w:val="right"/>
              <w:ind w:right="2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83,985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auto"/>
            </w:tcBorders>
          </w:tcPr>
          <w:p>
            <w:pPr>
              <w:jc w:val="right"/>
              <w:ind w:right="10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(58,833)</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1160"/>
              <w:spacing w:after="0" w:line="135" w:lineRule="exact"/>
              <w:rPr>
                <w:sz w:val="20"/>
                <w:szCs w:val="20"/>
                <w:color w:val="auto"/>
              </w:rPr>
            </w:pPr>
            <w:r>
              <w:rPr>
                <w:rFonts w:ascii="Times New Roman" w:cs="Times New Roman" w:eastAsia="Times New Roman" w:hAnsi="Times New Roman"/>
                <w:sz w:val="12"/>
                <w:szCs w:val="12"/>
                <w:b w:val="1"/>
                <w:bCs w:val="1"/>
                <w:color w:val="auto"/>
              </w:rPr>
              <w:t>Cash and cash equivalents and restricted cash</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6240" w:type="dxa"/>
            <w:vAlign w:val="bottom"/>
          </w:tcPr>
          <w:p>
            <w:pPr>
              <w:ind w:left="1160"/>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137,558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95,146</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40" w:type="dxa"/>
            <w:vAlign w:val="bottom"/>
          </w:tcPr>
          <w:p>
            <w:pPr>
              <w:ind w:left="1160"/>
              <w:spacing w:after="0" w:line="122" w:lineRule="exact"/>
              <w:rPr>
                <w:sz w:val="20"/>
                <w:szCs w:val="20"/>
                <w:color w:val="auto"/>
              </w:rPr>
            </w:pPr>
            <w:r>
              <w:rPr>
                <w:rFonts w:ascii="Times New Roman" w:cs="Times New Roman" w:eastAsia="Times New Roman" w:hAnsi="Times New Roman"/>
                <w:sz w:val="12"/>
                <w:szCs w:val="12"/>
                <w:b w:val="1"/>
                <w:bCs w:val="1"/>
                <w:color w:val="auto"/>
              </w:rPr>
              <w:t>Balance, end of period</w:t>
            </w:r>
          </w:p>
        </w:tc>
        <w:tc>
          <w:tcPr>
            <w:tcW w:w="140" w:type="dxa"/>
            <w:vAlign w:val="bottom"/>
            <w:tcBorders>
              <w:bottom w:val="single" w:sz="8" w:color="auto"/>
            </w:tcBorders>
          </w:tcPr>
          <w:p>
            <w:pPr>
              <w:jc w:val="right"/>
              <w:ind w:right="2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221,543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auto"/>
            </w:tcBorders>
          </w:tcPr>
          <w:p>
            <w:pPr>
              <w:jc w:val="right"/>
              <w:ind w:right="10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36,313</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1160"/>
              <w:spacing w:after="0" w:line="135" w:lineRule="exact"/>
              <w:rPr>
                <w:sz w:val="20"/>
                <w:szCs w:val="20"/>
                <w:color w:val="auto"/>
              </w:rPr>
            </w:pPr>
            <w:r>
              <w:rPr>
                <w:rFonts w:ascii="Times New Roman" w:cs="Times New Roman" w:eastAsia="Times New Roman" w:hAnsi="Times New Roman"/>
                <w:sz w:val="12"/>
                <w:szCs w:val="12"/>
                <w:b w:val="1"/>
                <w:bCs w:val="1"/>
                <w:color w:val="auto"/>
              </w:rPr>
              <w:t>Reconciliation of cash and cash equivalents and restricted cash</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1460"/>
              <w:spacing w:after="0" w:line="130" w:lineRule="exact"/>
              <w:rPr>
                <w:sz w:val="20"/>
                <w:szCs w:val="20"/>
                <w:color w:val="auto"/>
              </w:rPr>
            </w:pPr>
            <w:r>
              <w:rPr>
                <w:rFonts w:ascii="Times New Roman" w:cs="Times New Roman" w:eastAsia="Times New Roman" w:hAnsi="Times New Roman"/>
                <w:sz w:val="12"/>
                <w:szCs w:val="12"/>
                <w:color w:val="auto"/>
              </w:rPr>
              <w:t>Cash and cash equivalents</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205,286</w:t>
            </w:r>
          </w:p>
        </w:tc>
        <w:tc>
          <w:tcPr>
            <w:tcW w:w="120" w:type="dxa"/>
            <w:vAlign w:val="bottom"/>
          </w:tcPr>
          <w:p>
            <w:pPr>
              <w:spacing w:after="0"/>
              <w:rPr>
                <w:sz w:val="11"/>
                <w:szCs w:val="11"/>
                <w:color w:val="auto"/>
              </w:rPr>
            </w:pPr>
          </w:p>
        </w:tc>
        <w:tc>
          <w:tcPr>
            <w:tcW w:w="280" w:type="dxa"/>
            <w:vAlign w:val="bottom"/>
            <w:gridSpan w:val="2"/>
          </w:tcPr>
          <w:p>
            <w:pPr>
              <w:jc w:val="right"/>
              <w:ind w:right="107"/>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21,865</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1460"/>
              <w:spacing w:after="0" w:line="130" w:lineRule="exact"/>
              <w:rPr>
                <w:sz w:val="20"/>
                <w:szCs w:val="20"/>
                <w:color w:val="auto"/>
              </w:rPr>
            </w:pPr>
            <w:r>
              <w:rPr>
                <w:rFonts w:ascii="Times New Roman" w:cs="Times New Roman" w:eastAsia="Times New Roman" w:hAnsi="Times New Roman"/>
                <w:sz w:val="12"/>
                <w:szCs w:val="12"/>
                <w:color w:val="auto"/>
              </w:rPr>
              <w:t>Restricted cash, current</w:t>
            </w:r>
          </w:p>
        </w:tc>
        <w:tc>
          <w:tcPr>
            <w:tcW w:w="14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829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2,470</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240" w:type="dxa"/>
            <w:vAlign w:val="bottom"/>
          </w:tcPr>
          <w:p>
            <w:pPr>
              <w:ind w:left="1460"/>
              <w:spacing w:after="0"/>
              <w:rPr>
                <w:sz w:val="20"/>
                <w:szCs w:val="20"/>
                <w:color w:val="auto"/>
              </w:rPr>
            </w:pPr>
            <w:r>
              <w:rPr>
                <w:rFonts w:ascii="Times New Roman" w:cs="Times New Roman" w:eastAsia="Times New Roman" w:hAnsi="Times New Roman"/>
                <w:sz w:val="12"/>
                <w:szCs w:val="12"/>
                <w:color w:val="auto"/>
              </w:rPr>
              <w:t>Restricted cash, non-current</w:t>
            </w: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15,428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11,978</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40" w:type="dxa"/>
            <w:vAlign w:val="bottom"/>
          </w:tcPr>
          <w:p>
            <w:pPr>
              <w:ind w:left="1160"/>
              <w:spacing w:after="0" w:line="122" w:lineRule="exact"/>
              <w:rPr>
                <w:sz w:val="20"/>
                <w:szCs w:val="20"/>
                <w:color w:val="auto"/>
              </w:rPr>
            </w:pPr>
            <w:r>
              <w:rPr>
                <w:rFonts w:ascii="Times New Roman" w:cs="Times New Roman" w:eastAsia="Times New Roman" w:hAnsi="Times New Roman"/>
                <w:sz w:val="12"/>
                <w:szCs w:val="12"/>
                <w:b w:val="1"/>
                <w:bCs w:val="1"/>
                <w:color w:val="auto"/>
              </w:rPr>
              <w:t>Total cash and cash equivalents and restricted cash at the end of the period</w:t>
            </w:r>
          </w:p>
        </w:tc>
        <w:tc>
          <w:tcPr>
            <w:tcW w:w="140" w:type="dxa"/>
            <w:vAlign w:val="bottom"/>
            <w:tcBorders>
              <w:bottom w:val="single" w:sz="8" w:color="auto"/>
            </w:tcBorders>
          </w:tcPr>
          <w:p>
            <w:pPr>
              <w:jc w:val="right"/>
              <w:ind w:right="2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221,543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auto"/>
            </w:tcBorders>
          </w:tcPr>
          <w:p>
            <w:pPr>
              <w:jc w:val="right"/>
              <w:ind w:right="10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36,313</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1160"/>
              <w:spacing w:after="0" w:line="135" w:lineRule="exact"/>
              <w:rPr>
                <w:sz w:val="20"/>
                <w:szCs w:val="20"/>
                <w:color w:val="auto"/>
              </w:rPr>
            </w:pPr>
            <w:r>
              <w:rPr>
                <w:rFonts w:ascii="Times New Roman" w:cs="Times New Roman" w:eastAsia="Times New Roman" w:hAnsi="Times New Roman"/>
                <w:sz w:val="12"/>
                <w:szCs w:val="12"/>
                <w:b w:val="1"/>
                <w:bCs w:val="1"/>
                <w:color w:val="auto"/>
              </w:rPr>
              <w:t>Supplemental disclosures of cash flow information</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6240" w:type="dxa"/>
            <w:vAlign w:val="bottom"/>
          </w:tcPr>
          <w:p>
            <w:pPr>
              <w:ind w:left="1460"/>
              <w:spacing w:after="0" w:line="128" w:lineRule="exact"/>
              <w:rPr>
                <w:sz w:val="20"/>
                <w:szCs w:val="20"/>
                <w:color w:val="auto"/>
              </w:rPr>
            </w:pPr>
            <w:r>
              <w:rPr>
                <w:rFonts w:ascii="Times New Roman" w:cs="Times New Roman" w:eastAsia="Times New Roman" w:hAnsi="Times New Roman"/>
                <w:sz w:val="12"/>
                <w:szCs w:val="12"/>
                <w:color w:val="auto"/>
              </w:rPr>
              <w:t>Cash paid for interest</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11,101</w:t>
            </w:r>
          </w:p>
        </w:tc>
        <w:tc>
          <w:tcPr>
            <w:tcW w:w="120" w:type="dxa"/>
            <w:vAlign w:val="bottom"/>
          </w:tcPr>
          <w:p>
            <w:pPr>
              <w:spacing w:after="0"/>
              <w:rPr>
                <w:sz w:val="11"/>
                <w:szCs w:val="11"/>
                <w:color w:val="auto"/>
              </w:rPr>
            </w:pPr>
          </w:p>
        </w:tc>
        <w:tc>
          <w:tcPr>
            <w:tcW w:w="280" w:type="dxa"/>
            <w:vAlign w:val="bottom"/>
            <w:gridSpan w:val="2"/>
          </w:tcPr>
          <w:p>
            <w:pPr>
              <w:jc w:val="right"/>
              <w:ind w:right="107"/>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10,666</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240" w:type="dxa"/>
            <w:vAlign w:val="bottom"/>
          </w:tcPr>
          <w:p>
            <w:pPr>
              <w:ind w:left="1160"/>
              <w:spacing w:after="0" w:line="132" w:lineRule="exact"/>
              <w:rPr>
                <w:sz w:val="20"/>
                <w:szCs w:val="20"/>
                <w:color w:val="auto"/>
              </w:rPr>
            </w:pPr>
            <w:r>
              <w:rPr>
                <w:rFonts w:ascii="Times New Roman" w:cs="Times New Roman" w:eastAsia="Times New Roman" w:hAnsi="Times New Roman"/>
                <w:sz w:val="12"/>
                <w:szCs w:val="12"/>
                <w:b w:val="1"/>
                <w:bCs w:val="1"/>
                <w:color w:val="auto"/>
              </w:rPr>
              <w:t>Non-cash investing and financing activities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1460"/>
              <w:spacing w:after="0" w:line="130" w:lineRule="exact"/>
              <w:rPr>
                <w:sz w:val="20"/>
                <w:szCs w:val="20"/>
                <w:color w:val="auto"/>
              </w:rPr>
            </w:pPr>
            <w:r>
              <w:rPr>
                <w:rFonts w:ascii="Times New Roman" w:cs="Times New Roman" w:eastAsia="Times New Roman" w:hAnsi="Times New Roman"/>
                <w:sz w:val="12"/>
                <w:szCs w:val="12"/>
                <w:color w:val="auto"/>
              </w:rPr>
              <w:t>Property and equipment additions in accounts payable</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1,413</w:t>
            </w:r>
          </w:p>
        </w:tc>
        <w:tc>
          <w:tcPr>
            <w:tcW w:w="120" w:type="dxa"/>
            <w:vAlign w:val="bottom"/>
          </w:tcPr>
          <w:p>
            <w:pPr>
              <w:spacing w:after="0"/>
              <w:rPr>
                <w:sz w:val="11"/>
                <w:szCs w:val="11"/>
                <w:color w:val="auto"/>
              </w:rPr>
            </w:pPr>
          </w:p>
        </w:tc>
        <w:tc>
          <w:tcPr>
            <w:tcW w:w="280" w:type="dxa"/>
            <w:vAlign w:val="bottom"/>
            <w:gridSpan w:val="2"/>
          </w:tcPr>
          <w:p>
            <w:pPr>
              <w:jc w:val="right"/>
              <w:ind w:right="107"/>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560</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1460"/>
              <w:spacing w:after="0" w:line="130" w:lineRule="exact"/>
              <w:rPr>
                <w:sz w:val="20"/>
                <w:szCs w:val="20"/>
                <w:color w:val="auto"/>
              </w:rPr>
            </w:pPr>
            <w:r>
              <w:rPr>
                <w:rFonts w:ascii="Times New Roman" w:cs="Times New Roman" w:eastAsia="Times New Roman" w:hAnsi="Times New Roman"/>
                <w:sz w:val="12"/>
                <w:szCs w:val="12"/>
                <w:color w:val="auto"/>
              </w:rPr>
              <w:t>Capitalized interest (paid-in-kind)</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573</w:t>
            </w:r>
          </w:p>
        </w:tc>
        <w:tc>
          <w:tcPr>
            <w:tcW w:w="120" w:type="dxa"/>
            <w:vAlign w:val="bottom"/>
          </w:tcPr>
          <w:p>
            <w:pPr>
              <w:spacing w:after="0"/>
              <w:rPr>
                <w:sz w:val="11"/>
                <w:szCs w:val="11"/>
                <w:color w:val="auto"/>
              </w:rPr>
            </w:pPr>
          </w:p>
        </w:tc>
        <w:tc>
          <w:tcPr>
            <w:tcW w:w="280" w:type="dxa"/>
            <w:vAlign w:val="bottom"/>
            <w:gridSpan w:val="2"/>
          </w:tcPr>
          <w:p>
            <w:pPr>
              <w:jc w:val="right"/>
              <w:ind w:right="107"/>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20" w:type="dxa"/>
            <w:vAlign w:val="bottom"/>
            <w:gridSpan w:val="2"/>
          </w:tcPr>
          <w:p>
            <w:pPr>
              <w:jc w:val="right"/>
              <w:ind w:right="1220"/>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0"/>
        </w:trPr>
        <w:tc>
          <w:tcPr>
            <w:tcW w:w="6240" w:type="dxa"/>
            <w:vAlign w:val="bottom"/>
          </w:tcPr>
          <w:p>
            <w:pPr>
              <w:ind w:left="1460"/>
              <w:spacing w:after="0" w:line="130" w:lineRule="exact"/>
              <w:rPr>
                <w:sz w:val="20"/>
                <w:szCs w:val="20"/>
                <w:color w:val="auto"/>
              </w:rPr>
            </w:pPr>
            <w:r>
              <w:rPr>
                <w:rFonts w:ascii="Times New Roman" w:cs="Times New Roman" w:eastAsia="Times New Roman" w:hAnsi="Times New Roman"/>
                <w:sz w:val="12"/>
                <w:szCs w:val="12"/>
                <w:color w:val="auto"/>
              </w:rPr>
              <w:t>Issuance of debt in exchange of software licenses</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664</w:t>
            </w:r>
          </w:p>
        </w:tc>
        <w:tc>
          <w:tcPr>
            <w:tcW w:w="120" w:type="dxa"/>
            <w:vAlign w:val="bottom"/>
          </w:tcPr>
          <w:p>
            <w:pPr>
              <w:spacing w:after="0"/>
              <w:rPr>
                <w:sz w:val="11"/>
                <w:szCs w:val="11"/>
                <w:color w:val="auto"/>
              </w:rPr>
            </w:pPr>
          </w:p>
        </w:tc>
        <w:tc>
          <w:tcPr>
            <w:tcW w:w="280" w:type="dxa"/>
            <w:vAlign w:val="bottom"/>
            <w:gridSpan w:val="2"/>
          </w:tcPr>
          <w:p>
            <w:pPr>
              <w:jc w:val="right"/>
              <w:ind w:right="107"/>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20" w:type="dxa"/>
            <w:vAlign w:val="bottom"/>
            <w:gridSpan w:val="2"/>
          </w:tcPr>
          <w:p>
            <w:pPr>
              <w:jc w:val="right"/>
              <w:ind w:right="1220"/>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6240" w:type="dxa"/>
            <w:vAlign w:val="bottom"/>
          </w:tcPr>
          <w:p>
            <w:pPr>
              <w:ind w:left="1460"/>
              <w:spacing w:after="0"/>
              <w:rPr>
                <w:sz w:val="20"/>
                <w:szCs w:val="20"/>
                <w:color w:val="auto"/>
              </w:rPr>
            </w:pPr>
            <w:r>
              <w:rPr>
                <w:rFonts w:ascii="Times New Roman" w:cs="Times New Roman" w:eastAsia="Times New Roman" w:hAnsi="Times New Roman"/>
                <w:sz w:val="12"/>
                <w:szCs w:val="12"/>
                <w:color w:val="auto"/>
              </w:rPr>
              <w:t>Right-of-use asset acquired in exchange for finance lease liabilities</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1,625</w:t>
            </w:r>
          </w:p>
        </w:tc>
        <w:tc>
          <w:tcPr>
            <w:tcW w:w="120" w:type="dxa"/>
            <w:vAlign w:val="bottom"/>
          </w:tcPr>
          <w:p>
            <w:pPr>
              <w:spacing w:after="0"/>
              <w:rPr>
                <w:sz w:val="13"/>
                <w:szCs w:val="13"/>
                <w:color w:val="auto"/>
              </w:rPr>
            </w:pPr>
          </w:p>
        </w:tc>
        <w:tc>
          <w:tcPr>
            <w:tcW w:w="280" w:type="dxa"/>
            <w:vAlign w:val="bottom"/>
            <w:gridSpan w:val="2"/>
          </w:tcPr>
          <w:p>
            <w:pPr>
              <w:jc w:val="right"/>
              <w:ind w:right="107"/>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0"/>
        </w:trPr>
        <w:tc>
          <w:tcPr>
            <w:tcW w:w="6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6127115</wp:posOffset>
            </wp:positionH>
            <wp:positionV relativeFrom="paragraph">
              <wp:posOffset>-27305</wp:posOffset>
            </wp:positionV>
            <wp:extent cx="3302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-27305</wp:posOffset>
            </wp:positionV>
            <wp:extent cx="3302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680"/>
          </w:cols>
          <w:pgMar w:left="1100" w:top="1440" w:right="1119" w:bottom="1440" w:gutter="0" w:footer="0" w:header="0"/>
        </w:sectPr>
      </w:pPr>
    </w:p>
    <w:bookmarkStart w:id="13" w:name="page14"/>
    <w:bookmarkEnd w:id="13"/>
    <w:p>
      <w:pPr>
        <w:spacing w:after="0" w:line="3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449580</wp:posOffset>
            </wp:positionV>
            <wp:extent cx="1344295" cy="698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344295" cy="698500"/>
                    </a:xfrm>
                    <a:prstGeom prst="rect">
                      <a:avLst/>
                    </a:prstGeom>
                    <a:noFill/>
                  </pic:spPr>
                </pic:pic>
              </a:graphicData>
            </a:graphic>
          </wp:anchor>
        </w:drawing>
      </w:r>
    </w:p>
    <w:p>
      <w:pPr>
        <w:ind w:left="820" w:right="3339"/>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RECONCILIATION OF NON-GAAP FINANCIAL MEASURES </w:t>
      </w:r>
      <w:r>
        <w:rPr>
          <w:rFonts w:ascii="Times New Roman" w:cs="Times New Roman" w:eastAsia="Times New Roman" w:hAnsi="Times New Roman"/>
          <w:sz w:val="17"/>
          <w:szCs w:val="17"/>
          <w:color w:val="auto"/>
        </w:rPr>
        <w:t>(unaudited; in thousands)</w:t>
      </w:r>
    </w:p>
    <w:p>
      <w:pPr>
        <w:spacing w:after="0" w:line="43" w:lineRule="exact"/>
        <w:rPr>
          <w:sz w:val="20"/>
          <w:szCs w:val="20"/>
          <w:color w:val="auto"/>
        </w:rPr>
      </w:pPr>
    </w:p>
    <w:p>
      <w:pPr>
        <w:ind w:left="820" w:right="979"/>
        <w:spacing w:after="0" w:line="259" w:lineRule="auto"/>
        <w:rPr>
          <w:sz w:val="20"/>
          <w:szCs w:val="20"/>
          <w:color w:val="auto"/>
        </w:rPr>
      </w:pPr>
      <w:r>
        <w:rPr>
          <w:rFonts w:ascii="Times New Roman" w:cs="Times New Roman" w:eastAsia="Times New Roman" w:hAnsi="Times New Roman"/>
          <w:sz w:val="17"/>
          <w:szCs w:val="17"/>
          <w:color w:val="auto"/>
        </w:rPr>
        <w:t>The following tables present reconciliations of Adjusted EBITDA, Non-GAAP Research and Development, Non-GAAP Selling, General, and Administrative, Non-GAAP Operating Expenses, Non-GAAP Other Expense, and Free Cash Flow to their most directly comparable financial measures presented in accordance with U.S. GAAP:</w:t>
      </w:r>
    </w:p>
    <w:p>
      <w:pPr>
        <w:spacing w:after="0" w:line="98" w:lineRule="exact"/>
        <w:rPr>
          <w:sz w:val="20"/>
          <w:szCs w:val="20"/>
          <w:color w:val="auto"/>
        </w:rPr>
      </w:pPr>
    </w:p>
    <w:tbl>
      <w:tblPr>
        <w:tblLayout w:type="fixed"/>
        <w:tblInd w:w="820" w:type="dxa"/>
        <w:tblCellMar>
          <w:top w:w="0" w:type="dxa"/>
          <w:left w:w="0" w:type="dxa"/>
          <w:bottom w:w="0" w:type="dxa"/>
          <w:right w:w="0" w:type="dxa"/>
        </w:tblCellMar>
      </w:tblPr>
      <w:tr>
        <w:trPr>
          <w:trHeight w:val="143"/>
        </w:trPr>
        <w:tc>
          <w:tcPr>
            <w:tcW w:w="2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6"/>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6"/>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For the Six Months Ended</w:t>
            </w:r>
          </w:p>
        </w:tc>
        <w:tc>
          <w:tcPr>
            <w:tcW w:w="0" w:type="dxa"/>
            <w:vAlign w:val="bottom"/>
          </w:tcPr>
          <w:p>
            <w:pPr>
              <w:spacing w:after="0"/>
              <w:rPr>
                <w:sz w:val="1"/>
                <w:szCs w:val="1"/>
                <w:color w:val="auto"/>
              </w:rPr>
            </w:pPr>
          </w:p>
        </w:tc>
      </w:tr>
      <w:tr>
        <w:trPr>
          <w:trHeight w:val="122"/>
        </w:trPr>
        <w:tc>
          <w:tcPr>
            <w:tcW w:w="24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Net loss</w:t>
            </w: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300"/>
              <w:spacing w:after="0" w:line="122" w:lineRule="exact"/>
              <w:rPr>
                <w:sz w:val="20"/>
                <w:szCs w:val="20"/>
                <w:color w:val="auto"/>
              </w:rPr>
            </w:pPr>
            <w:r>
              <w:rPr>
                <w:rFonts w:ascii="Times New Roman" w:cs="Times New Roman" w:eastAsia="Times New Roman" w:hAnsi="Times New Roman"/>
                <w:sz w:val="12"/>
                <w:szCs w:val="12"/>
                <w:b w:val="1"/>
                <w:bCs w:val="1"/>
                <w:color w:val="auto"/>
              </w:rPr>
              <w:t>June 30, 2025</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61"/>
              <w:spacing w:after="0" w:line="122" w:lineRule="exact"/>
              <w:rPr>
                <w:sz w:val="20"/>
                <w:szCs w:val="20"/>
                <w:color w:val="auto"/>
              </w:rPr>
            </w:pPr>
            <w:r>
              <w:rPr>
                <w:rFonts w:ascii="Times New Roman" w:cs="Times New Roman" w:eastAsia="Times New Roman" w:hAnsi="Times New Roman"/>
                <w:sz w:val="12"/>
                <w:szCs w:val="12"/>
                <w:b w:val="1"/>
                <w:bCs w:val="1"/>
                <w:color w:val="auto"/>
              </w:rPr>
              <w:t>June 30, 2024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320"/>
              <w:spacing w:after="0" w:line="122" w:lineRule="exact"/>
              <w:rPr>
                <w:sz w:val="20"/>
                <w:szCs w:val="20"/>
                <w:color w:val="auto"/>
              </w:rPr>
            </w:pPr>
            <w:r>
              <w:rPr>
                <w:rFonts w:ascii="Times New Roman" w:cs="Times New Roman" w:eastAsia="Times New Roman" w:hAnsi="Times New Roman"/>
                <w:sz w:val="12"/>
                <w:szCs w:val="12"/>
                <w:b w:val="1"/>
                <w:bCs w:val="1"/>
                <w:color w:val="auto"/>
              </w:rPr>
              <w:t>June 30, 2025</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41"/>
              <w:spacing w:after="0" w:line="122" w:lineRule="exact"/>
              <w:rPr>
                <w:sz w:val="20"/>
                <w:szCs w:val="20"/>
                <w:color w:val="auto"/>
              </w:rPr>
            </w:pPr>
            <w:r>
              <w:rPr>
                <w:rFonts w:ascii="Times New Roman" w:cs="Times New Roman" w:eastAsia="Times New Roman" w:hAnsi="Times New Roman"/>
                <w:sz w:val="12"/>
                <w:szCs w:val="12"/>
                <w:b w:val="1"/>
                <w:bCs w:val="1"/>
                <w:color w:val="auto"/>
              </w:rPr>
              <w:t>June 30, 2024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4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96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(63,778)</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top w:val="single" w:sz="8" w:color="auto"/>
            </w:tcBorders>
          </w:tcPr>
          <w:p>
            <w:pPr>
              <w:jc w:val="right"/>
              <w:ind w:right="27"/>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(53,453)</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jc w:val="right"/>
              <w:ind w:right="7"/>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(123,871)</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jc w:val="right"/>
              <w:ind w:right="7"/>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(106,224)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46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Adjusted for: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460" w:type="dxa"/>
            <w:vAlign w:val="bottom"/>
          </w:tcPr>
          <w:p>
            <w:pPr>
              <w:ind w:left="160"/>
              <w:spacing w:after="0" w:line="130" w:lineRule="exact"/>
              <w:rPr>
                <w:sz w:val="20"/>
                <w:szCs w:val="20"/>
                <w:color w:val="auto"/>
              </w:rPr>
            </w:pPr>
            <w:r>
              <w:rPr>
                <w:rFonts w:ascii="Times New Roman" w:cs="Times New Roman" w:eastAsia="Times New Roman" w:hAnsi="Times New Roman"/>
                <w:sz w:val="12"/>
                <w:szCs w:val="12"/>
                <w:color w:val="auto"/>
              </w:rPr>
              <w:t>Interest expense, net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5,237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3,738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10,401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7,491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460" w:type="dxa"/>
            <w:vAlign w:val="bottom"/>
          </w:tcPr>
          <w:p>
            <w:pPr>
              <w:ind w:left="160"/>
              <w:spacing w:after="0" w:line="130"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3,920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1,541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7,916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3,037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460" w:type="dxa"/>
            <w:vAlign w:val="bottom"/>
          </w:tcPr>
          <w:p>
            <w:pPr>
              <w:ind w:left="160"/>
              <w:spacing w:after="0" w:line="130" w:lineRule="exact"/>
              <w:rPr>
                <w:sz w:val="20"/>
                <w:szCs w:val="20"/>
                <w:color w:val="auto"/>
              </w:rPr>
            </w:pPr>
            <w:r>
              <w:rPr>
                <w:rFonts w:ascii="Times New Roman" w:cs="Times New Roman" w:eastAsia="Times New Roman" w:hAnsi="Times New Roman"/>
                <w:sz w:val="12"/>
                <w:szCs w:val="12"/>
                <w:color w:val="auto"/>
              </w:rPr>
              <w:t>Stock-based compensation expense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760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425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1,191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834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460" w:type="dxa"/>
            <w:vAlign w:val="bottom"/>
          </w:tcPr>
          <w:p>
            <w:pPr>
              <w:ind w:left="160"/>
              <w:spacing w:after="0" w:line="130" w:lineRule="exact"/>
              <w:rPr>
                <w:sz w:val="20"/>
                <w:szCs w:val="20"/>
                <w:color w:val="auto"/>
              </w:rPr>
            </w:pPr>
            <w:r>
              <w:rPr>
                <w:rFonts w:ascii="Times New Roman" w:cs="Times New Roman" w:eastAsia="Times New Roman" w:hAnsi="Times New Roman"/>
                <w:sz w:val="12"/>
                <w:szCs w:val="12"/>
                <w:color w:val="auto"/>
              </w:rPr>
              <w:t>Change in fair value of warrant liabilities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4,191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5,107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460" w:type="dxa"/>
            <w:vAlign w:val="bottom"/>
          </w:tcPr>
          <w:p>
            <w:pPr>
              <w:ind w:left="160"/>
              <w:spacing w:after="0" w:line="118" w:lineRule="exact"/>
              <w:rPr>
                <w:sz w:val="20"/>
                <w:szCs w:val="20"/>
                <w:color w:val="auto"/>
              </w:rPr>
            </w:pPr>
            <w:r>
              <w:rPr>
                <w:rFonts w:ascii="Times New Roman" w:cs="Times New Roman" w:eastAsia="Times New Roman" w:hAnsi="Times New Roman"/>
                <w:sz w:val="12"/>
                <w:szCs w:val="12"/>
                <w:color w:val="auto"/>
              </w:rPr>
              <w:t>Loss on disposal of fixed assets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19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120"/>
              <w:spacing w:after="0" w:line="11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22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460" w:type="dxa"/>
            <w:vAlign w:val="bottom"/>
          </w:tcPr>
          <w:p>
            <w:pPr>
              <w:ind w:left="160"/>
              <w:spacing w:after="0" w:line="143" w:lineRule="exact"/>
              <w:rPr>
                <w:sz w:val="20"/>
                <w:szCs w:val="20"/>
                <w:color w:val="auto"/>
              </w:rPr>
            </w:pPr>
            <w:r>
              <w:rPr>
                <w:rFonts w:ascii="Times New Roman" w:cs="Times New Roman" w:eastAsia="Times New Roman" w:hAnsi="Times New Roman"/>
                <w:sz w:val="12"/>
                <w:szCs w:val="12"/>
                <w:color w:val="auto"/>
              </w:rPr>
              <w:t xml:space="preserve">One-time costs related to the IPO </w:t>
            </w:r>
            <w:r>
              <w:rPr>
                <w:rFonts w:ascii="Times New Roman" w:cs="Times New Roman" w:eastAsia="Times New Roman" w:hAnsi="Times New Roman"/>
                <w:sz w:val="15"/>
                <w:szCs w:val="15"/>
                <w:color w:val="auto"/>
                <w:vertAlign w:val="superscript"/>
              </w:rPr>
              <w:t>(1)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2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Adjusted EBITDA</w:t>
            </w:r>
          </w:p>
        </w:tc>
        <w:tc>
          <w:tcPr>
            <w:tcW w:w="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(47,903)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(47,691)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(95,036)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(94,776)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6"/>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6"/>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For the Six Months Ended</w:t>
            </w:r>
          </w:p>
        </w:tc>
        <w:tc>
          <w:tcPr>
            <w:tcW w:w="0" w:type="dxa"/>
            <w:vAlign w:val="bottom"/>
          </w:tcPr>
          <w:p>
            <w:pPr>
              <w:spacing w:after="0"/>
              <w:rPr>
                <w:sz w:val="1"/>
                <w:szCs w:val="1"/>
                <w:color w:val="auto"/>
              </w:rPr>
            </w:pPr>
          </w:p>
        </w:tc>
      </w:tr>
      <w:tr>
        <w:trPr>
          <w:trHeight w:val="122"/>
        </w:trPr>
        <w:tc>
          <w:tcPr>
            <w:tcW w:w="24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Research and development</w:t>
            </w: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300"/>
              <w:spacing w:after="0" w:line="122" w:lineRule="exact"/>
              <w:rPr>
                <w:sz w:val="20"/>
                <w:szCs w:val="20"/>
                <w:color w:val="auto"/>
              </w:rPr>
            </w:pPr>
            <w:r>
              <w:rPr>
                <w:rFonts w:ascii="Times New Roman" w:cs="Times New Roman" w:eastAsia="Times New Roman" w:hAnsi="Times New Roman"/>
                <w:sz w:val="12"/>
                <w:szCs w:val="12"/>
                <w:b w:val="1"/>
                <w:bCs w:val="1"/>
                <w:color w:val="auto"/>
              </w:rPr>
              <w:t>June 30, 2025</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61"/>
              <w:spacing w:after="0" w:line="122" w:lineRule="exact"/>
              <w:rPr>
                <w:sz w:val="20"/>
                <w:szCs w:val="20"/>
                <w:color w:val="auto"/>
              </w:rPr>
            </w:pPr>
            <w:r>
              <w:rPr>
                <w:rFonts w:ascii="Times New Roman" w:cs="Times New Roman" w:eastAsia="Times New Roman" w:hAnsi="Times New Roman"/>
                <w:sz w:val="12"/>
                <w:szCs w:val="12"/>
                <w:b w:val="1"/>
                <w:bCs w:val="1"/>
                <w:color w:val="auto"/>
              </w:rPr>
              <w:t>June 30, 2024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320"/>
              <w:spacing w:after="0" w:line="122" w:lineRule="exact"/>
              <w:rPr>
                <w:sz w:val="20"/>
                <w:szCs w:val="20"/>
                <w:color w:val="auto"/>
              </w:rPr>
            </w:pPr>
            <w:r>
              <w:rPr>
                <w:rFonts w:ascii="Times New Roman" w:cs="Times New Roman" w:eastAsia="Times New Roman" w:hAnsi="Times New Roman"/>
                <w:sz w:val="12"/>
                <w:szCs w:val="12"/>
                <w:b w:val="1"/>
                <w:bCs w:val="1"/>
                <w:color w:val="auto"/>
              </w:rPr>
              <w:t>June 30, 2025</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41"/>
              <w:spacing w:after="0" w:line="122" w:lineRule="exact"/>
              <w:rPr>
                <w:sz w:val="20"/>
                <w:szCs w:val="20"/>
                <w:color w:val="auto"/>
              </w:rPr>
            </w:pPr>
            <w:r>
              <w:rPr>
                <w:rFonts w:ascii="Times New Roman" w:cs="Times New Roman" w:eastAsia="Times New Roman" w:hAnsi="Times New Roman"/>
                <w:sz w:val="12"/>
                <w:szCs w:val="12"/>
                <w:b w:val="1"/>
                <w:bCs w:val="1"/>
                <w:color w:val="auto"/>
              </w:rPr>
              <w:t>June 30, 2024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4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6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45,774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top w:val="single" w:sz="8" w:color="auto"/>
            </w:tcBorders>
          </w:tcPr>
          <w:p>
            <w:pPr>
              <w:jc w:val="right"/>
              <w:ind w:right="27"/>
              <w:spacing w:after="0" w:line="11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39,544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jc w:val="right"/>
              <w:ind w:right="7"/>
              <w:spacing w:after="0" w:line="11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93,786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jc w:val="right"/>
              <w:ind w:right="7"/>
              <w:spacing w:after="0" w:line="11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77,179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(177)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(295)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0" w:type="dxa"/>
            <w:vAlign w:val="bottom"/>
          </w:tcPr>
          <w:p>
            <w:pPr>
              <w:spacing w:after="0"/>
              <w:rPr>
                <w:sz w:val="1"/>
                <w:szCs w:val="1"/>
                <w:color w:val="auto"/>
              </w:rPr>
            </w:pPr>
          </w:p>
        </w:tc>
      </w:tr>
      <w:tr>
        <w:trPr>
          <w:trHeight w:val="122"/>
        </w:trPr>
        <w:tc>
          <w:tcPr>
            <w:tcW w:w="2460" w:type="dxa"/>
            <w:vAlign w:val="bottom"/>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Non-GAAP Research and Development</w:t>
            </w:r>
          </w:p>
        </w:tc>
        <w:tc>
          <w:tcPr>
            <w:tcW w:w="2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45,597</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39,426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93,491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76,937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Selling, general, and administrative</w:t>
            </w:r>
          </w:p>
        </w:tc>
        <w:tc>
          <w:tcPr>
            <w:tcW w:w="120" w:type="dxa"/>
            <w:vAlign w:val="bottom"/>
            <w:gridSpan w:val="2"/>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12,571</w:t>
            </w:r>
          </w:p>
        </w:tc>
        <w:tc>
          <w:tcPr>
            <w:tcW w:w="10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12,288</w:t>
            </w:r>
          </w:p>
        </w:tc>
        <w:tc>
          <w:tcPr>
            <w:tcW w:w="10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25,323</w:t>
            </w:r>
          </w:p>
        </w:tc>
        <w:tc>
          <w:tcPr>
            <w:tcW w:w="12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21,868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2460" w:type="dxa"/>
            <w:vAlign w:val="bottom"/>
          </w:tcPr>
          <w:p>
            <w:pPr>
              <w:ind w:left="160"/>
              <w:spacing w:after="0" w:line="118" w:lineRule="exact"/>
              <w:rPr>
                <w:sz w:val="20"/>
                <w:szCs w:val="20"/>
                <w:color w:val="auto"/>
              </w:rPr>
            </w:pPr>
            <w:r>
              <w:rPr>
                <w:rFonts w:ascii="Times New Roman" w:cs="Times New Roman" w:eastAsia="Times New Roman" w:hAnsi="Times New Roman"/>
                <w:sz w:val="12"/>
                <w:szCs w:val="12"/>
                <w:color w:val="auto"/>
              </w:rPr>
              <w:t>Stock-based compensation expense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2"/>
                <w:szCs w:val="12"/>
                <w:color w:val="auto"/>
              </w:rPr>
              <w:t>(583)</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2"/>
                <w:szCs w:val="12"/>
                <w:color w:val="auto"/>
              </w:rPr>
              <w:t>(307)</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80"/>
              <w:spacing w:after="0" w:line="118" w:lineRule="exact"/>
              <w:rPr>
                <w:sz w:val="20"/>
                <w:szCs w:val="20"/>
                <w:color w:val="auto"/>
              </w:rPr>
            </w:pPr>
            <w:r>
              <w:rPr>
                <w:rFonts w:ascii="Times New Roman" w:cs="Times New Roman" w:eastAsia="Times New Roman" w:hAnsi="Times New Roman"/>
                <w:sz w:val="12"/>
                <w:szCs w:val="12"/>
                <w:color w:val="auto"/>
              </w:rPr>
              <w:t>(896)</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color w:val="auto"/>
              </w:rPr>
              <w:t>(592)</w:t>
            </w:r>
          </w:p>
        </w:tc>
        <w:tc>
          <w:tcPr>
            <w:tcW w:w="0" w:type="dxa"/>
            <w:vAlign w:val="bottom"/>
          </w:tcPr>
          <w:p>
            <w:pPr>
              <w:spacing w:after="0"/>
              <w:rPr>
                <w:sz w:val="1"/>
                <w:szCs w:val="1"/>
                <w:color w:val="auto"/>
              </w:rPr>
            </w:pPr>
          </w:p>
        </w:tc>
      </w:tr>
      <w:tr>
        <w:trPr>
          <w:trHeight w:val="154"/>
        </w:trPr>
        <w:tc>
          <w:tcPr>
            <w:tcW w:w="2460" w:type="dxa"/>
            <w:vAlign w:val="bottom"/>
          </w:tcPr>
          <w:p>
            <w:pPr>
              <w:ind w:left="160"/>
              <w:spacing w:after="0" w:line="154" w:lineRule="exact"/>
              <w:rPr>
                <w:sz w:val="20"/>
                <w:szCs w:val="20"/>
                <w:color w:val="auto"/>
              </w:rPr>
            </w:pPr>
            <w:r>
              <w:rPr>
                <w:rFonts w:ascii="Times New Roman" w:cs="Times New Roman" w:eastAsia="Times New Roman" w:hAnsi="Times New Roman"/>
                <w:sz w:val="12"/>
                <w:szCs w:val="12"/>
                <w:color w:val="auto"/>
              </w:rPr>
              <w:t xml:space="preserve">One-time costs related to the IPO </w:t>
            </w:r>
            <w:r>
              <w:rPr>
                <w:rFonts w:ascii="Times New Roman" w:cs="Times New Roman" w:eastAsia="Times New Roman" w:hAnsi="Times New Roman"/>
                <w:sz w:val="15"/>
                <w:szCs w:val="15"/>
                <w:color w:val="auto"/>
                <w:vertAlign w:val="superscript"/>
              </w:rPr>
              <w:t>(1)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(1,767)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(4,220)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Non-GAAP Selling, General, and</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460" w:type="dxa"/>
            <w:vAlign w:val="bottom"/>
            <w:vMerge w:val="continue"/>
          </w:tcPr>
          <w:p>
            <w:pPr>
              <w:spacing w:after="0"/>
              <w:rPr>
                <w:sz w:val="9"/>
                <w:szCs w:val="9"/>
                <w:color w:val="auto"/>
              </w:rPr>
            </w:pPr>
          </w:p>
        </w:tc>
        <w:tc>
          <w:tcPr>
            <w:tcW w:w="12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10,221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vMerge w:val="restart"/>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11,981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vMerge w:val="restart"/>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20,207</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vMerge w:val="restart"/>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21,276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460" w:type="dxa"/>
            <w:vAlign w:val="bottom"/>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Administrative</w:t>
            </w:r>
          </w:p>
        </w:tc>
        <w:tc>
          <w:tcPr>
            <w:tcW w:w="120" w:type="dxa"/>
            <w:vAlign w:val="bottom"/>
            <w:tcBorders>
              <w:bottom w:val="single" w:sz="8" w:color="auto"/>
            </w:tcBorders>
            <w:gridSpan w:val="2"/>
            <w:vMerge w:val="continue"/>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vMerge w:val="continue"/>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120" w:type="dxa"/>
            <w:vAlign w:val="bottom"/>
            <w:gridSpan w:val="2"/>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58,345</w:t>
            </w:r>
          </w:p>
        </w:tc>
        <w:tc>
          <w:tcPr>
            <w:tcW w:w="10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51,851</w:t>
            </w:r>
          </w:p>
        </w:tc>
        <w:tc>
          <w:tcPr>
            <w:tcW w:w="10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119,109</w:t>
            </w:r>
          </w:p>
        </w:tc>
        <w:tc>
          <w:tcPr>
            <w:tcW w:w="12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99,069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2460" w:type="dxa"/>
            <w:vAlign w:val="bottom"/>
          </w:tcPr>
          <w:p>
            <w:pPr>
              <w:ind w:left="160"/>
              <w:spacing w:after="0" w:line="118" w:lineRule="exact"/>
              <w:rPr>
                <w:sz w:val="20"/>
                <w:szCs w:val="20"/>
                <w:color w:val="auto"/>
              </w:rPr>
            </w:pPr>
            <w:r>
              <w:rPr>
                <w:rFonts w:ascii="Times New Roman" w:cs="Times New Roman" w:eastAsia="Times New Roman" w:hAnsi="Times New Roman"/>
                <w:sz w:val="12"/>
                <w:szCs w:val="12"/>
                <w:color w:val="auto"/>
              </w:rPr>
              <w:t>Stock-based compensation expense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2"/>
                <w:szCs w:val="12"/>
                <w:color w:val="auto"/>
              </w:rPr>
              <w:t>(760)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2"/>
                <w:szCs w:val="12"/>
                <w:color w:val="auto"/>
              </w:rPr>
              <w:t>(425)</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80"/>
              <w:spacing w:after="0" w:line="118" w:lineRule="exact"/>
              <w:rPr>
                <w:sz w:val="20"/>
                <w:szCs w:val="20"/>
                <w:color w:val="auto"/>
              </w:rPr>
            </w:pPr>
            <w:r>
              <w:rPr>
                <w:rFonts w:ascii="Times New Roman" w:cs="Times New Roman" w:eastAsia="Times New Roman" w:hAnsi="Times New Roman"/>
                <w:sz w:val="12"/>
                <w:szCs w:val="12"/>
                <w:color w:val="auto"/>
              </w:rPr>
              <w:t>(1,191)</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color w:val="auto"/>
              </w:rPr>
              <w:t>(834)</w:t>
            </w:r>
          </w:p>
        </w:tc>
        <w:tc>
          <w:tcPr>
            <w:tcW w:w="0" w:type="dxa"/>
            <w:vAlign w:val="bottom"/>
          </w:tcPr>
          <w:p>
            <w:pPr>
              <w:spacing w:after="0"/>
              <w:rPr>
                <w:sz w:val="1"/>
                <w:szCs w:val="1"/>
                <w:color w:val="auto"/>
              </w:rPr>
            </w:pPr>
          </w:p>
        </w:tc>
      </w:tr>
      <w:tr>
        <w:trPr>
          <w:trHeight w:val="143"/>
        </w:trPr>
        <w:tc>
          <w:tcPr>
            <w:tcW w:w="2460" w:type="dxa"/>
            <w:vAlign w:val="bottom"/>
          </w:tcPr>
          <w:p>
            <w:pPr>
              <w:ind w:left="160"/>
              <w:spacing w:after="0" w:line="143" w:lineRule="exact"/>
              <w:rPr>
                <w:sz w:val="20"/>
                <w:szCs w:val="20"/>
                <w:color w:val="auto"/>
              </w:rPr>
            </w:pPr>
            <w:r>
              <w:rPr>
                <w:rFonts w:ascii="Times New Roman" w:cs="Times New Roman" w:eastAsia="Times New Roman" w:hAnsi="Times New Roman"/>
                <w:sz w:val="12"/>
                <w:szCs w:val="12"/>
                <w:color w:val="auto"/>
              </w:rPr>
              <w:t xml:space="preserve">One-time costs related to the IPO </w:t>
            </w:r>
            <w:r>
              <w:rPr>
                <w:rFonts w:ascii="Times New Roman" w:cs="Times New Roman" w:eastAsia="Times New Roman" w:hAnsi="Times New Roman"/>
                <w:sz w:val="15"/>
                <w:szCs w:val="15"/>
                <w:color w:val="auto"/>
                <w:vertAlign w:val="superscript"/>
              </w:rPr>
              <w:t>(1)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(1,767)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(4,220)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2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Loss on disposal of fixed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122"/>
        </w:trPr>
        <w:tc>
          <w:tcPr>
            <w:tcW w:w="2460" w:type="dxa"/>
            <w:vAlign w:val="bottom"/>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Non-GAAP Operating Expenses</w:t>
            </w:r>
          </w:p>
        </w:tc>
        <w:tc>
          <w:tcPr>
            <w:tcW w:w="2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55,818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51,407</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113,698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98,213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expense</w:t>
            </w:r>
          </w:p>
        </w:tc>
        <w:tc>
          <w:tcPr>
            <w:tcW w:w="120" w:type="dxa"/>
            <w:vAlign w:val="bottom"/>
            <w:gridSpan w:val="2"/>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9,428</w:t>
            </w:r>
          </w:p>
        </w:tc>
        <w:tc>
          <w:tcPr>
            <w:tcW w:w="10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4,553</w:t>
            </w:r>
          </w:p>
        </w:tc>
        <w:tc>
          <w:tcPr>
            <w:tcW w:w="10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10,977</w:t>
            </w:r>
          </w:p>
        </w:tc>
        <w:tc>
          <w:tcPr>
            <w:tcW w:w="12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8,183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460" w:type="dxa"/>
            <w:vAlign w:val="bottom"/>
          </w:tcPr>
          <w:p>
            <w:pPr>
              <w:ind w:left="160"/>
              <w:spacing w:after="0" w:line="130" w:lineRule="exact"/>
              <w:rPr>
                <w:sz w:val="20"/>
                <w:szCs w:val="20"/>
                <w:color w:val="auto"/>
              </w:rPr>
            </w:pPr>
            <w:r>
              <w:rPr>
                <w:rFonts w:ascii="Times New Roman" w:cs="Times New Roman" w:eastAsia="Times New Roman" w:hAnsi="Times New Roman"/>
                <w:sz w:val="12"/>
                <w:szCs w:val="12"/>
                <w:color w:val="auto"/>
              </w:rPr>
              <w:t>Change in fair value of warrant liabilities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60"/>
              <w:spacing w:after="0" w:line="130" w:lineRule="exact"/>
              <w:rPr>
                <w:sz w:val="20"/>
                <w:szCs w:val="20"/>
                <w:color w:val="auto"/>
              </w:rPr>
            </w:pPr>
            <w:r>
              <w:rPr>
                <w:rFonts w:ascii="Times New Roman" w:cs="Times New Roman" w:eastAsia="Times New Roman" w:hAnsi="Times New Roman"/>
                <w:sz w:val="12"/>
                <w:szCs w:val="12"/>
                <w:color w:val="auto"/>
              </w:rPr>
              <w:t>(4,191)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60"/>
              <w:spacing w:after="0" w:line="130" w:lineRule="exact"/>
              <w:rPr>
                <w:sz w:val="20"/>
                <w:szCs w:val="20"/>
                <w:color w:val="auto"/>
              </w:rPr>
            </w:pPr>
            <w:r>
              <w:rPr>
                <w:rFonts w:ascii="Times New Roman" w:cs="Times New Roman" w:eastAsia="Times New Roman" w:hAnsi="Times New Roman"/>
                <w:sz w:val="12"/>
                <w:szCs w:val="12"/>
                <w:color w:val="auto"/>
              </w:rPr>
              <w:t>(31)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(5,107)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1"/>
        </w:trPr>
        <w:tc>
          <w:tcPr>
            <w:tcW w:w="2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rPr>
                <w:sz w:val="1"/>
                <w:szCs w:val="1"/>
                <w:color w:val="auto"/>
              </w:rPr>
            </w:pPr>
          </w:p>
        </w:tc>
      </w:tr>
      <w:tr>
        <w:trPr>
          <w:trHeight w:val="122"/>
        </w:trPr>
        <w:tc>
          <w:tcPr>
            <w:tcW w:w="2460" w:type="dxa"/>
            <w:vAlign w:val="bottom"/>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Non-GAAP Other Expense</w:t>
            </w:r>
          </w:p>
        </w:tc>
        <w:tc>
          <w:tcPr>
            <w:tcW w:w="2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5,237</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4,514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5,870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8,119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820" w:right="1059" w:firstLine="24"/>
        <w:spacing w:after="0" w:line="253" w:lineRule="auto"/>
        <w:tabs>
          <w:tab w:leader="none" w:pos="101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costs incurred related to the IPO that do not meet the direct and incremental criteria per SEC Staff Accounting Bulletin Topic 5.A to be charged against the gross proceeds of the transaction, but are not expected to recur in the future.</w:t>
      </w:r>
    </w:p>
    <w:p>
      <w:pPr>
        <w:spacing w:after="0" w:line="97" w:lineRule="exact"/>
        <w:rPr>
          <w:sz w:val="20"/>
          <w:szCs w:val="20"/>
          <w:color w:val="auto"/>
        </w:rPr>
      </w:pPr>
    </w:p>
    <w:tbl>
      <w:tblPr>
        <w:tblLayout w:type="fixed"/>
        <w:tblInd w:w="820" w:type="dxa"/>
        <w:tblCellMar>
          <w:top w:w="0" w:type="dxa"/>
          <w:left w:w="0" w:type="dxa"/>
          <w:bottom w:w="0" w:type="dxa"/>
          <w:right w:w="0" w:type="dxa"/>
        </w:tblCellMar>
      </w:tblPr>
      <w:tr>
        <w:trPr>
          <w:trHeight w:val="143"/>
        </w:trPr>
        <w:tc>
          <w:tcPr>
            <w:tcW w:w="2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5"/>
          </w:tcPr>
          <w:p>
            <w:pPr>
              <w:ind w:left="300"/>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2"/>
                <w:szCs w:val="12"/>
                <w:b w:val="1"/>
                <w:bCs w:val="1"/>
                <w:color w:val="auto"/>
              </w:rPr>
              <w:t>For the Six Months Ended</w:t>
            </w:r>
          </w:p>
        </w:tc>
        <w:tc>
          <w:tcPr>
            <w:tcW w:w="0" w:type="dxa"/>
            <w:vAlign w:val="bottom"/>
          </w:tcPr>
          <w:p>
            <w:pPr>
              <w:spacing w:after="0"/>
              <w:rPr>
                <w:sz w:val="1"/>
                <w:szCs w:val="1"/>
                <w:color w:val="auto"/>
              </w:rPr>
            </w:pPr>
          </w:p>
        </w:tc>
      </w:tr>
      <w:tr>
        <w:trPr>
          <w:trHeight w:val="122"/>
        </w:trPr>
        <w:tc>
          <w:tcPr>
            <w:tcW w:w="24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360"/>
              <w:spacing w:after="0" w:line="122" w:lineRule="exact"/>
              <w:rPr>
                <w:sz w:val="20"/>
                <w:szCs w:val="20"/>
                <w:color w:val="auto"/>
              </w:rPr>
            </w:pPr>
            <w:r>
              <w:rPr>
                <w:rFonts w:ascii="Times New Roman" w:cs="Times New Roman" w:eastAsia="Times New Roman" w:hAnsi="Times New Roman"/>
                <w:sz w:val="12"/>
                <w:szCs w:val="12"/>
                <w:b w:val="1"/>
                <w:bCs w:val="1"/>
                <w:color w:val="auto"/>
              </w:rPr>
              <w:t>June 30, 2025</w:t>
            </w: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b w:val="1"/>
                <w:bCs w:val="1"/>
                <w:color w:val="auto"/>
              </w:rPr>
              <w:t>June 30, 2024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ind w:left="80"/>
              <w:spacing w:after="0" w:line="122" w:lineRule="exact"/>
              <w:rPr>
                <w:sz w:val="20"/>
                <w:szCs w:val="20"/>
                <w:color w:val="auto"/>
              </w:rPr>
            </w:pPr>
            <w:r>
              <w:rPr>
                <w:rFonts w:ascii="Times New Roman" w:cs="Times New Roman" w:eastAsia="Times New Roman" w:hAnsi="Times New Roman"/>
                <w:sz w:val="12"/>
                <w:szCs w:val="12"/>
                <w:b w:val="1"/>
                <w:bCs w:val="1"/>
                <w:color w:val="auto"/>
              </w:rPr>
              <w:t>June 30, 2025</w:t>
            </w: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41"/>
              <w:spacing w:after="0" w:line="122" w:lineRule="exact"/>
              <w:rPr>
                <w:sz w:val="20"/>
                <w:szCs w:val="20"/>
                <w:color w:val="auto"/>
              </w:rPr>
            </w:pPr>
            <w:r>
              <w:rPr>
                <w:rFonts w:ascii="Times New Roman" w:cs="Times New Roman" w:eastAsia="Times New Roman" w:hAnsi="Times New Roman"/>
                <w:sz w:val="12"/>
                <w:szCs w:val="12"/>
                <w:b w:val="1"/>
                <w:bCs w:val="1"/>
                <w:color w:val="auto"/>
              </w:rPr>
              <w:t>June 30, 2024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4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96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(28,082)</w:t>
            </w:r>
          </w:p>
        </w:tc>
        <w:tc>
          <w:tcPr>
            <w:tcW w:w="160" w:type="dxa"/>
            <w:vAlign w:val="bottom"/>
          </w:tcPr>
          <w:p>
            <w:pPr>
              <w:spacing w:after="0"/>
              <w:rPr>
                <w:sz w:val="9"/>
                <w:szCs w:val="9"/>
                <w:color w:val="auto"/>
              </w:rPr>
            </w:pPr>
          </w:p>
        </w:tc>
        <w:tc>
          <w:tcPr>
            <w:tcW w:w="140" w:type="dxa"/>
            <w:vAlign w:val="bottom"/>
            <w:tcBorders>
              <w:top w:val="single" w:sz="8" w:color="auto"/>
            </w:tcBorders>
          </w:tcPr>
          <w:p>
            <w:pPr>
              <w:jc w:val="right"/>
              <w:ind w:right="27"/>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ind w:left="580"/>
              <w:spacing w:after="0" w:line="111" w:lineRule="exact"/>
              <w:rPr>
                <w:sz w:val="20"/>
                <w:szCs w:val="20"/>
                <w:color w:val="auto"/>
              </w:rPr>
            </w:pPr>
            <w:r>
              <w:rPr>
                <w:rFonts w:ascii="Times New Roman" w:cs="Times New Roman" w:eastAsia="Times New Roman" w:hAnsi="Times New Roman"/>
                <w:sz w:val="12"/>
                <w:szCs w:val="12"/>
                <w:color w:val="auto"/>
                <w:w w:val="87"/>
              </w:rPr>
              <w:t>(20,232)</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jc w:val="right"/>
              <w:ind w:right="7"/>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ind w:left="600"/>
              <w:spacing w:after="0" w:line="111" w:lineRule="exact"/>
              <w:rPr>
                <w:sz w:val="20"/>
                <w:szCs w:val="20"/>
                <w:color w:val="auto"/>
              </w:rPr>
            </w:pPr>
            <w:r>
              <w:rPr>
                <w:rFonts w:ascii="Times New Roman" w:cs="Times New Roman" w:eastAsia="Times New Roman" w:hAnsi="Times New Roman"/>
                <w:sz w:val="12"/>
                <w:szCs w:val="12"/>
                <w:color w:val="auto"/>
                <w:w w:val="82"/>
              </w:rPr>
              <w:t>(84,619)</w:t>
            </w:r>
          </w:p>
        </w:tc>
        <w:tc>
          <w:tcPr>
            <w:tcW w:w="180" w:type="dxa"/>
            <w:vAlign w:val="bottom"/>
          </w:tcPr>
          <w:p>
            <w:pPr>
              <w:spacing w:after="0"/>
              <w:rPr>
                <w:sz w:val="9"/>
                <w:szCs w:val="9"/>
                <w:color w:val="auto"/>
              </w:rPr>
            </w:pPr>
          </w:p>
        </w:tc>
        <w:tc>
          <w:tcPr>
            <w:tcW w:w="120" w:type="dxa"/>
            <w:vAlign w:val="bottom"/>
            <w:tcBorders>
              <w:top w:val="single" w:sz="8" w:color="auto"/>
            </w:tcBorders>
          </w:tcPr>
          <w:p>
            <w:pPr>
              <w:jc w:val="right"/>
              <w:ind w:right="7"/>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(80,815)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460" w:type="dxa"/>
            <w:vAlign w:val="bottom"/>
          </w:tcPr>
          <w:p>
            <w:pPr>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(9,183)</w:t>
            </w:r>
          </w:p>
        </w:tc>
        <w:tc>
          <w:tcPr>
            <w:tcW w:w="140" w:type="dxa"/>
            <w:vAlign w:val="bottom"/>
          </w:tcPr>
          <w:p>
            <w:pPr>
              <w:spacing w:after="0"/>
              <w:rPr>
                <w:sz w:val="12"/>
                <w:szCs w:val="12"/>
                <w:color w:val="auto"/>
              </w:rPr>
            </w:pP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2"/>
                <w:szCs w:val="12"/>
                <w:color w:val="auto"/>
              </w:rPr>
              <w:t>(17,331)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(11,837)</w:t>
            </w:r>
          </w:p>
        </w:tc>
        <w:tc>
          <w:tcPr>
            <w:tcW w:w="12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(21,834)</w:t>
            </w:r>
          </w:p>
        </w:tc>
        <w:tc>
          <w:tcPr>
            <w:tcW w:w="0" w:type="dxa"/>
            <w:vAlign w:val="bottom"/>
          </w:tcPr>
          <w:p>
            <w:pPr>
              <w:spacing w:after="0"/>
              <w:rPr>
                <w:sz w:val="1"/>
                <w:szCs w:val="1"/>
                <w:color w:val="auto"/>
              </w:rPr>
            </w:pPr>
          </w:p>
        </w:tc>
      </w:tr>
      <w:tr>
        <w:trPr>
          <w:trHeight w:val="122"/>
        </w:trPr>
        <w:tc>
          <w:tcPr>
            <w:tcW w:w="2460" w:type="dxa"/>
            <w:vAlign w:val="bottom"/>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Free Cash Flow</w:t>
            </w:r>
          </w:p>
        </w:tc>
        <w:tc>
          <w:tcPr>
            <w:tcW w:w="2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6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(37,265)</w:t>
            </w:r>
          </w:p>
        </w:tc>
        <w:tc>
          <w:tcPr>
            <w:tcW w:w="1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7"/>
              <w:spacing w:after="0" w:line="11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ind w:left="580"/>
              <w:spacing w:after="0" w:line="110" w:lineRule="exact"/>
              <w:rPr>
                <w:sz w:val="20"/>
                <w:szCs w:val="20"/>
                <w:color w:val="auto"/>
              </w:rPr>
            </w:pPr>
            <w:r>
              <w:rPr>
                <w:rFonts w:ascii="Times New Roman" w:cs="Times New Roman" w:eastAsia="Times New Roman" w:hAnsi="Times New Roman"/>
                <w:sz w:val="12"/>
                <w:szCs w:val="12"/>
                <w:b w:val="1"/>
                <w:bCs w:val="1"/>
                <w:color w:val="auto"/>
                <w:w w:val="87"/>
              </w:rPr>
              <w:t>(37,563)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7"/>
              <w:spacing w:after="0" w:line="11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ind w:left="600"/>
              <w:spacing w:after="0" w:line="110" w:lineRule="exact"/>
              <w:rPr>
                <w:sz w:val="20"/>
                <w:szCs w:val="20"/>
                <w:color w:val="auto"/>
              </w:rPr>
            </w:pPr>
            <w:r>
              <w:rPr>
                <w:rFonts w:ascii="Times New Roman" w:cs="Times New Roman" w:eastAsia="Times New Roman" w:hAnsi="Times New Roman"/>
                <w:sz w:val="12"/>
                <w:szCs w:val="12"/>
                <w:b w:val="1"/>
                <w:bCs w:val="1"/>
                <w:color w:val="auto"/>
                <w:w w:val="82"/>
              </w:rPr>
              <w:t>(96,456)</w:t>
            </w:r>
          </w:p>
        </w:tc>
        <w:tc>
          <w:tcPr>
            <w:tcW w:w="18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7"/>
              <w:spacing w:after="0" w:line="11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(102,649)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776605</wp:posOffset>
            </wp:positionV>
            <wp:extent cx="616839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681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68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2025-09-22T15:16:31Z</dcterms:created>
  <dcterms:modified xsi:type="dcterms:W3CDTF">2025-09-22T15:16:31Z</dcterms:modified>
</cp:coreProperties>
</file>