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Emerson Christopher Plummer IV</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Firefly Aerospace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9"/>
              </w:rPr>
              <w:t>C/O FIREFLY AEROSPACE INC.</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2203 SCOTTSDALE DRIVE</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LEANDER</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78641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3,630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6,964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under the Firefly Aerospace Inc. 2025 Omnibus Incentive Plan. The RSUs vest on June 4, 2027, subject to the reporting person's continued service to the Issuer through the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portion of these securities are RSUs. Each RSU represents a contingent right to receive one share of the Issuer's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Wheeler,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9081" TargetMode="External"/><Relationship Id="rId14" Type="http://schemas.openxmlformats.org/officeDocument/2006/relationships/hyperlink" Target="http://www.sec.gov/cgi-bin/browse-edgar?action=getcompany&amp;CIK=00018601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2026-06-08T07:40:29Z</dcterms:created>
  <dcterms:modified xsi:type="dcterms:W3CDTF">2026-06-08T07:40:29Z</dcterms:modified>
</cp:coreProperties>
</file>