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fly-20260930.htm"/>
      <w:bookmarkStart w:id="1" w:name="ksfly20260930"/>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Firefly Aerospace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001-42789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81-5194980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2203 Scottsdale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Leander,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78641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893-5570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Resignation of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2026, Thomas Zurbuchen notified the Board of Directors (the “Board”) of Firefly Aerospace Inc. (the “Company”) of his decision to resign as a director of the Company, effective September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Zurbuchen’s resignation was not the result of any disagreement with the Company or its management on any matter relating to the Company’s operations, policies or practices. The Board thanks Dr. Zurbuchen for his service and contributions to the Board and wishes him well in his future endeavors.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Appointment of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2026, the Board appointed Rick Ambrose to serve as a Class III director of the Company, effective immediately, with a term expiring at the Company’s annual meeting of stockholders to be held in 2028 or until his successor is duly elected and qualified.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also appointed Mr. Ambrose to serve as a member of the Audit Committee of the Board and as a member of the Compensation Committee of the Board, in each case effective immediately.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determined that Mr. Ambrose is “independent” under the applicable listing standards of The Nasdaq Stock Market LLC (“Nasdaq”) and the applicable rules of the Securities and Exchange Commission, including, with respect to service on the Audit Committee, the heightened independence requirements of Rule 10A-3 under the Securities Exchange Act of 1934, as amended (the “Exchange Act”), and the applicable Nasdaq listing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Ambrose, age 68, currently serves on the board of directors of Textron Inc. (NYSE: TXT). Since December 2022, he has served as a Senior Director at SDR Ventures, and since September 2022, he has served as the President of Ambrose Advisors, LLC. From October 2022 to December 2023, he served as a Senior Advisor at McKinsey &amp; Company. He retired in March 2022 as the Executive Vice President—Space of Lockheed Martin Corporation, a global security and aerospace company, where he led Lockheed Martin’s $12 billion Space business. Prior to this role, which he assumed in 2013, he served as President, Lockheed Martin Information Systems &amp; Global Solutions-National from 2011 through 2012 and as Vice President &amp; General Manager, Lockheed Martin Surveillance &amp; Navigation Systems, a line of business within Space, from 2006 through 2010. He joined Lockheed in 2000 as Vice President &amp; General Manager, Lockheed Martin Ground Systems and served as President, Lockheed Martin Maritime Systems &amp; Sensors Tactical Systems from 2004 to 2006. Prior to joining Lockheed Martin, Mr. Ambrose served as President and General Manager of the Space Systems Division at Hughes Information Systems (which merged with Raytheon C3I Systems in 1997). The Board believes Mr. Ambrose is qualified to serve as a director given his leadership experience in the aerospace industry and financial expertise.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Mr. Ambrose will participate in the Company’s non-employee director compensation program as set forth in the Company’s Outside Director Compensation Policy (the “Policy”). Under the Policy, each non-employee director receives an annual cash retainer of $100,000 for Board service, payable in advance in four equal quarterly installments. Non-employee directors also receive additional annual cash retainers of $50,000 for the Non-Executive Chair of the Board; $20,000 and $10,000 for the chair and members, respectively, of the Audit Committee of the Board; $15,000 and $7,500 for the chair and members, respectively, of the Compensation Committee of the Board; and $15,000 and $5,000 for the chair and members, respectively, of the Nominating and Corporate Governance Committee of the Board. In addition, pursuant to the Policy, as a newly appointed director, Mr. Ambrose will receive a one-time grant of restricted stock units with a value of $150,000 and, as a non-employee director, will receive an annual restricted stock unit grant with a value of $150,000 on the date of each annual meeting of stockholders, with Mr. Ambrose’s annual grant at the first annual meeting following his appointment being prorated to reflect the portion of the preceding year he served as a non-employee director. Each such grant vests in full on the first anniversary of the grant date subject to such director’s resignation from our Board or otherwise ceasing to serve as a director through the vesting date. Each equity grant under the Policy is subject to full acceleration of vesting immediately prior to a Change in Control (as defined in the Policy) of the Company. The Company also reimburses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non-employee directors for reasonable out-of-pocket expenses incurred in attending Board and committee meetings. The foregoing description of the Policy does not purport to be complete and is qualified in its entirety by reference to the full text of the Policy, which is filed as Exhibit 10.6 to the Company’s Quarterly Report on Form 10-Q for the period ended June 30, 2026 and is incorporated by reference herein. In connection with his appointment, Mr. Ambrose will also enter into the Company’s form of indemnification agreement for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arrangements or understandings between Mr. Ambrose and any other person pursuant to which he was selected to serve as a director of the Company. There are no transactions, and no currently proposed transactions, between the Company and Mr. Ambrose that would require disclosure under Item 404(a) of Regulation S-K. There are no family relationships between Mr. Ambrose and any director or executive officer of the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89" w:type="dxa"/>
        <w:jc w:val="left"/>
        <w:tblInd w:w="0" w:type="dxa"/>
        <w:tblLayout w:type="fixed"/>
        <w:tblCellMar>
          <w:top w:w="28" w:type="dxa"/>
          <w:left w:w="28" w:type="dxa"/>
          <w:bottom w:w="28" w:type="dxa"/>
          <w:right w:w="28" w:type="dxa"/>
        </w:tblCellMar>
      </w:tblPr>
      <w:tblGrid>
        <w:gridCol w:w="556"/>
        <w:gridCol w:w="1411"/>
        <w:gridCol w:w="451"/>
        <w:gridCol w:w="267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FIREFLY AEROSPACE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Darren Ma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Darren Ma</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1238</Words>
  <Characters>6690</Characters>
  <CharactersWithSpaces>7925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