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100"/>
        <w:spacing w:after="0"/>
        <w:rPr>
          <w:sz w:val="20"/>
          <w:szCs w:val="20"/>
          <w:color w:val="auto"/>
        </w:rPr>
      </w:pPr>
      <w:r>
        <w:rPr>
          <w:rFonts w:ascii="Times New Roman" w:cs="Times New Roman" w:eastAsia="Times New Roman" w:hAnsi="Times New Roman"/>
          <w:sz w:val="14"/>
          <w:szCs w:val="14"/>
          <w:color w:val="auto"/>
        </w:rPr>
        <w:t>Prospectus Supplement No. 8</w:t>
      </w:r>
    </w:p>
    <w:p>
      <w:pPr>
        <w:spacing w:after="0" w:line="4" w:lineRule="exact"/>
        <w:rPr>
          <w:sz w:val="24"/>
          <w:szCs w:val="24"/>
          <w:color w:val="auto"/>
        </w:rPr>
      </w:pPr>
    </w:p>
    <w:p>
      <w:pPr>
        <w:ind w:left="100"/>
        <w:spacing w:after="0"/>
        <w:rPr>
          <w:sz w:val="20"/>
          <w:szCs w:val="20"/>
          <w:color w:val="auto"/>
        </w:rPr>
      </w:pPr>
      <w:r>
        <w:rPr>
          <w:rFonts w:ascii="Times New Roman" w:cs="Times New Roman" w:eastAsia="Times New Roman" w:hAnsi="Times New Roman"/>
          <w:sz w:val="14"/>
          <w:szCs w:val="14"/>
          <w:color w:val="auto"/>
        </w:rPr>
        <w:t>(to Prospectus dated December 19, 2025)</w:t>
      </w:r>
    </w:p>
    <w:p>
      <w:pPr>
        <w:spacing w:after="0" w:line="20" w:lineRule="exact"/>
        <w:rPr>
          <w:sz w:val="24"/>
          <w:szCs w:val="24"/>
          <w:color w:val="auto"/>
        </w:rPr>
      </w:pPr>
      <w:r>
        <w:rPr>
          <w:sz w:val="24"/>
          <w:szCs w:val="24"/>
          <w:color w:val="auto"/>
        </w:rPr>
        <w:br w:type="column"/>
      </w:r>
    </w:p>
    <w:p>
      <w:pPr>
        <w:jc w:val="right"/>
        <w:ind w:right="80"/>
        <w:spacing w:after="0"/>
        <w:rPr>
          <w:sz w:val="20"/>
          <w:szCs w:val="20"/>
          <w:color w:val="auto"/>
        </w:rPr>
      </w:pPr>
      <w:r>
        <w:rPr>
          <w:rFonts w:ascii="Times New Roman" w:cs="Times New Roman" w:eastAsia="Times New Roman" w:hAnsi="Times New Roman"/>
          <w:sz w:val="14"/>
          <w:szCs w:val="14"/>
          <w:color w:val="auto"/>
        </w:rPr>
        <w:t>Filed Pursuant to Rule 424(b)(3)</w:t>
      </w:r>
    </w:p>
    <w:p>
      <w:pPr>
        <w:spacing w:after="0" w:line="4" w:lineRule="exact"/>
        <w:rPr>
          <w:sz w:val="24"/>
          <w:szCs w:val="24"/>
          <w:color w:val="auto"/>
        </w:rPr>
      </w:pPr>
    </w:p>
    <w:p>
      <w:pPr>
        <w:jc w:val="right"/>
        <w:ind w:right="80"/>
        <w:spacing w:after="0"/>
        <w:rPr>
          <w:sz w:val="20"/>
          <w:szCs w:val="20"/>
          <w:color w:val="auto"/>
        </w:rPr>
      </w:pPr>
      <w:r>
        <w:rPr>
          <w:rFonts w:ascii="Times New Roman" w:cs="Times New Roman" w:eastAsia="Times New Roman" w:hAnsi="Times New Roman"/>
          <w:sz w:val="14"/>
          <w:szCs w:val="14"/>
          <w:color w:val="auto"/>
        </w:rPr>
        <w:t>Registration No. 333-291599</w:t>
      </w:r>
    </w:p>
    <w:p>
      <w:pPr>
        <w:spacing w:after="0" w:line="200" w:lineRule="exact"/>
        <w:rPr>
          <w:sz w:val="24"/>
          <w:szCs w:val="24"/>
          <w:color w:val="auto"/>
        </w:rPr>
      </w:pPr>
    </w:p>
    <w:p>
      <w:pPr>
        <w:sectPr>
          <w:pgSz w:w="11900" w:h="16838" w:orient="portrait"/>
          <w:cols w:equalWidth="0" w:num="2">
            <w:col w:w="7020" w:space="720"/>
            <w:col w:w="1960"/>
          </w:cols>
          <w:pgMar w:left="1080" w:top="873" w:right="1119" w:bottom="1440" w:gutter="0" w:footer="0" w:header="0"/>
        </w:sect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6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0"/>
          <w:szCs w:val="20"/>
          <w:b w:val="1"/>
          <w:bCs w:val="1"/>
          <w:color w:val="auto"/>
        </w:rPr>
        <w:t>11,111,116 Shares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1639570</wp:posOffset>
            </wp:positionH>
            <wp:positionV relativeFrom="paragraph">
              <wp:posOffset>153670</wp:posOffset>
            </wp:positionV>
            <wp:extent cx="2897505" cy="50609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2897505" cy="50609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8"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0"/>
          <w:szCs w:val="20"/>
          <w:b w:val="1"/>
          <w:bCs w:val="1"/>
          <w:color w:val="auto"/>
        </w:rPr>
        <w:t>Common Stock</w:t>
      </w:r>
    </w:p>
    <w:p>
      <w:pPr>
        <w:spacing w:after="0" w:line="200" w:lineRule="exact"/>
        <w:rPr>
          <w:sz w:val="24"/>
          <w:szCs w:val="24"/>
          <w:color w:val="auto"/>
        </w:rPr>
      </w:pPr>
    </w:p>
    <w:p>
      <w:pPr>
        <w:spacing w:after="0" w:line="200" w:lineRule="exact"/>
        <w:rPr>
          <w:sz w:val="24"/>
          <w:szCs w:val="24"/>
          <w:color w:val="auto"/>
        </w:rPr>
      </w:pPr>
    </w:p>
    <w:p>
      <w:pPr>
        <w:spacing w:after="0" w:line="247" w:lineRule="exact"/>
        <w:rPr>
          <w:sz w:val="24"/>
          <w:szCs w:val="24"/>
          <w:color w:val="auto"/>
        </w:rPr>
      </w:pPr>
    </w:p>
    <w:p>
      <w:pPr>
        <w:jc w:val="both"/>
        <w:ind w:right="120"/>
        <w:spacing w:after="0" w:line="272" w:lineRule="auto"/>
        <w:rPr>
          <w:sz w:val="20"/>
          <w:szCs w:val="20"/>
          <w:color w:val="auto"/>
        </w:rPr>
      </w:pPr>
      <w:r>
        <w:rPr>
          <w:rFonts w:ascii="Times New Roman" w:cs="Times New Roman" w:eastAsia="Times New Roman" w:hAnsi="Times New Roman"/>
          <w:sz w:val="16"/>
          <w:szCs w:val="16"/>
          <w:color w:val="auto"/>
        </w:rPr>
        <w:t>This prospectus supplement updates and supplements the prospectus dated December 19, 2025, as supplemented or amended from time to time (the “Prospectus”), which forms a part of our Registration Statement on Form S-1 (Registration No. 333-291599). This prospectus supplement is being filed to update and supplement the information in the Prospectus with the information contained in our Current Report on Form 8-K, filed with the Securities and Exchange Commission on June 5, 2026 (the “Current Report”). Accordingly, we have attached the Current Report to this prospectus supplement.</w:t>
      </w:r>
    </w:p>
    <w:p>
      <w:pPr>
        <w:spacing w:after="0" w:line="186" w:lineRule="exact"/>
        <w:rPr>
          <w:sz w:val="24"/>
          <w:szCs w:val="24"/>
          <w:color w:val="auto"/>
        </w:rPr>
      </w:pPr>
    </w:p>
    <w:p>
      <w:pPr>
        <w:spacing w:after="0" w:line="275" w:lineRule="auto"/>
        <w:rPr>
          <w:sz w:val="20"/>
          <w:szCs w:val="20"/>
          <w:color w:val="auto"/>
        </w:rPr>
      </w:pPr>
      <w:r>
        <w:rPr>
          <w:rFonts w:ascii="Times New Roman" w:cs="Times New Roman" w:eastAsia="Times New Roman" w:hAnsi="Times New Roman"/>
          <w:sz w:val="16"/>
          <w:szCs w:val="16"/>
          <w:color w:val="auto"/>
        </w:rPr>
        <w:t>The Prospectus relates to the offer and sale from time to time by the selling securityholders named in the Prospectus (the “Selling Securityholders”) of up to 11,111,116 shares of Common Stock, par value $0.0001 per share (the “Common Stock”) of Firefly Aerospace Inc. (“Firefly Aerospace”) that were received by such Selling Securityholders as consideration in connection with Firefly Aerospace’s acquisition of SciTec Innovations, LLC, a Delaware limited liability company.</w:t>
      </w:r>
    </w:p>
    <w:p>
      <w:pPr>
        <w:spacing w:after="0" w:line="183" w:lineRule="exact"/>
        <w:rPr>
          <w:sz w:val="24"/>
          <w:szCs w:val="24"/>
          <w:color w:val="auto"/>
        </w:rPr>
      </w:pPr>
    </w:p>
    <w:p>
      <w:pPr>
        <w:ind w:right="20"/>
        <w:spacing w:after="0" w:line="281" w:lineRule="auto"/>
        <w:rPr>
          <w:sz w:val="20"/>
          <w:szCs w:val="20"/>
          <w:color w:val="auto"/>
        </w:rPr>
      </w:pPr>
      <w:r>
        <w:rPr>
          <w:rFonts w:ascii="Times New Roman" w:cs="Times New Roman" w:eastAsia="Times New Roman" w:hAnsi="Times New Roman"/>
          <w:sz w:val="16"/>
          <w:szCs w:val="16"/>
          <w:color w:val="auto"/>
        </w:rPr>
        <w:t>This prospectus supplement should be read in conjunction with the Prospectus. This prospectus supplement updates and supplements the information in the Prospectus. If there is any inconsistency between the information in the Prospectus and this prospectus supplement, you should rely on the information in this prospectus supplement.</w:t>
      </w:r>
    </w:p>
    <w:p>
      <w:pPr>
        <w:spacing w:after="0" w:line="177" w:lineRule="exact"/>
        <w:rPr>
          <w:sz w:val="24"/>
          <w:szCs w:val="24"/>
          <w:color w:val="auto"/>
        </w:rPr>
      </w:pPr>
    </w:p>
    <w:p>
      <w:pPr>
        <w:ind w:right="160"/>
        <w:spacing w:after="0" w:line="298" w:lineRule="auto"/>
        <w:rPr>
          <w:sz w:val="20"/>
          <w:szCs w:val="20"/>
          <w:color w:val="auto"/>
        </w:rPr>
      </w:pPr>
      <w:r>
        <w:rPr>
          <w:rFonts w:ascii="Times New Roman" w:cs="Times New Roman" w:eastAsia="Times New Roman" w:hAnsi="Times New Roman"/>
          <w:sz w:val="16"/>
          <w:szCs w:val="16"/>
          <w:color w:val="auto"/>
        </w:rPr>
        <w:t>Our Common Stock is listed on the Nasdaq Global Market under the symbol “FLY”. On June 4, 2026, the closing price of our Common Stock was $41.33 per share.</w:t>
      </w:r>
    </w:p>
    <w:p>
      <w:pPr>
        <w:spacing w:after="0" w:line="156" w:lineRule="exact"/>
        <w:rPr>
          <w:sz w:val="24"/>
          <w:szCs w:val="24"/>
          <w:color w:val="auto"/>
        </w:rPr>
      </w:pPr>
    </w:p>
    <w:p>
      <w:pPr>
        <w:ind w:right="200"/>
        <w:spacing w:after="0" w:line="286" w:lineRule="auto"/>
        <w:rPr>
          <w:sz w:val="20"/>
          <w:szCs w:val="20"/>
          <w:color w:val="auto"/>
        </w:rPr>
      </w:pPr>
      <w:r>
        <w:rPr>
          <w:rFonts w:ascii="Times New Roman" w:cs="Times New Roman" w:eastAsia="Times New Roman" w:hAnsi="Times New Roman"/>
          <w:sz w:val="18"/>
          <w:szCs w:val="18"/>
          <w:b w:val="1"/>
          <w:bCs w:val="1"/>
          <w:color w:val="auto"/>
        </w:rPr>
        <w:t>Investing in our Common Stock involves risks. See “Risk Factors” beginning on page 9 of the Prospectus, and under similar headings in any further amendments or supplements to the Prospectus.</w:t>
      </w:r>
    </w:p>
    <w:p>
      <w:pPr>
        <w:spacing w:after="0" w:line="161" w:lineRule="exact"/>
        <w:rPr>
          <w:sz w:val="24"/>
          <w:szCs w:val="24"/>
          <w:color w:val="auto"/>
        </w:rPr>
      </w:pPr>
    </w:p>
    <w:p>
      <w:pPr>
        <w:ind w:right="40"/>
        <w:spacing w:after="0" w:line="301" w:lineRule="auto"/>
        <w:rPr>
          <w:sz w:val="20"/>
          <w:szCs w:val="20"/>
          <w:color w:val="auto"/>
        </w:rPr>
      </w:pPr>
      <w:r>
        <w:rPr>
          <w:rFonts w:ascii="Times New Roman" w:cs="Times New Roman" w:eastAsia="Times New Roman" w:hAnsi="Times New Roman"/>
          <w:sz w:val="16"/>
          <w:szCs w:val="16"/>
          <w:b w:val="1"/>
          <w:bCs w:val="1"/>
          <w:color w:val="auto"/>
        </w:rPr>
        <w:t>Neither the Securities and Exchange Commission nor any state securities commission has approved or disapproved of these securities or determined if the Prospectus or this prospectus supplement is truthful or complete. Any representation to the contrary is a criminal offense.</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The date of this prospectus supplement is June 5, 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-429895</wp:posOffset>
            </wp:positionH>
            <wp:positionV relativeFrom="paragraph">
              <wp:posOffset>624840</wp:posOffset>
            </wp:positionV>
            <wp:extent cx="7037705"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037705" cy="42545"/>
                    </a:xfrm>
                    <a:prstGeom prst="rect">
                      <a:avLst/>
                    </a:prstGeom>
                    <a:noFill/>
                  </pic:spPr>
                </pic:pic>
              </a:graphicData>
            </a:graphic>
          </wp:anchor>
        </w:drawing>
      </w:r>
    </w:p>
    <w:p>
      <w:pPr>
        <w:sectPr>
          <w:pgSz w:w="11900" w:h="16838" w:orient="portrait"/>
          <w:cols w:equalWidth="0" w:num="1">
            <w:col w:w="9700"/>
          </w:cols>
          <w:pgMar w:left="1080" w:top="873" w:right="1119" w:bottom="1440" w:gutter="0" w:footer="0" w:header="0"/>
          <w:type w:val="continuous"/>
        </w:sectPr>
      </w:pPr>
    </w:p>
    <w:bookmarkStart w:id="1" w:name="page2"/>
    <w:bookmarkEnd w:id="1"/>
    <w:p>
      <w:pPr>
        <w:jc w:val="center"/>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688340</wp:posOffset>
            </wp:positionH>
            <wp:positionV relativeFrom="page">
              <wp:posOffset>637540</wp:posOffset>
            </wp:positionV>
            <wp:extent cx="617220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172200" cy="8255"/>
                    </a:xfrm>
                    <a:prstGeom prst="rect">
                      <a:avLst/>
                    </a:prstGeom>
                    <a:noFill/>
                  </pic:spPr>
                </pic:pic>
              </a:graphicData>
            </a:graphic>
          </wp:anchor>
        </w:drawing>
        <w:drawing>
          <wp:anchor simplePos="0" relativeHeight="251657728" behindDoc="1" locked="0" layoutInCell="0" allowOverlap="1">
            <wp:simplePos x="0" y="0"/>
            <wp:positionH relativeFrom="page">
              <wp:posOffset>688340</wp:posOffset>
            </wp:positionH>
            <wp:positionV relativeFrom="page">
              <wp:posOffset>654685</wp:posOffset>
            </wp:positionV>
            <wp:extent cx="617220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172200" cy="8255"/>
                    </a:xfrm>
                    <a:prstGeom prst="rect">
                      <a:avLst/>
                    </a:prstGeom>
                    <a:noFill/>
                  </pic:spPr>
                </pic:pic>
              </a:graphicData>
            </a:graphic>
          </wp:anchor>
        </w:drawing>
        <w:t>UNITED STATES</w:t>
      </w:r>
    </w:p>
    <w:p>
      <w:pPr>
        <w:spacing w:after="0" w:line="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2471420</wp:posOffset>
            </wp:positionH>
            <wp:positionV relativeFrom="paragraph">
              <wp:posOffset>132715</wp:posOffset>
            </wp:positionV>
            <wp:extent cx="123444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234440" cy="8255"/>
                    </a:xfrm>
                    <a:prstGeom prst="rect">
                      <a:avLst/>
                    </a:prstGeom>
                    <a:noFill/>
                  </pic:spPr>
                </pic:pic>
              </a:graphicData>
            </a:graphic>
          </wp:anchor>
        </w:drawing>
      </w:r>
    </w:p>
    <w:p>
      <w:pPr>
        <w:spacing w:after="0" w:line="3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2471420</wp:posOffset>
            </wp:positionH>
            <wp:positionV relativeFrom="paragraph">
              <wp:posOffset>165100</wp:posOffset>
            </wp:positionV>
            <wp:extent cx="123444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234440" cy="8255"/>
                    </a:xfrm>
                    <a:prstGeom prst="rect">
                      <a:avLst/>
                    </a:prstGeom>
                    <a:noFill/>
                  </pic:spPr>
                </pic:pic>
              </a:graphicData>
            </a:graphic>
          </wp:anchor>
        </w:drawing>
      </w:r>
    </w:p>
    <w:p>
      <w:pPr>
        <w:spacing w:after="0" w:line="3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1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Pursuant to Section 13 or 15(d) of the Securities Exchange Act of 1934</w:t>
      </w:r>
    </w:p>
    <w:p>
      <w:pPr>
        <w:spacing w:after="0" w:line="107"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Date of Report (Date of earliest event reported): June 04,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2471420</wp:posOffset>
            </wp:positionH>
            <wp:positionV relativeFrom="paragraph">
              <wp:posOffset>217170</wp:posOffset>
            </wp:positionV>
            <wp:extent cx="123444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34440" cy="8255"/>
                    </a:xfrm>
                    <a:prstGeom prst="rect">
                      <a:avLst/>
                    </a:prstGeom>
                    <a:noFill/>
                  </pic:spPr>
                </pic:pic>
              </a:graphicData>
            </a:graphic>
          </wp:anchor>
        </w:drawing>
      </w:r>
    </w:p>
    <w:p>
      <w:pPr>
        <w:spacing w:after="0" w:line="200" w:lineRule="exact"/>
        <w:rPr>
          <w:sz w:val="20"/>
          <w:szCs w:val="20"/>
          <w:color w:val="auto"/>
        </w:rPr>
      </w:pPr>
    </w:p>
    <w:p>
      <w:pPr>
        <w:spacing w:after="0" w:line="3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43"/>
          <w:szCs w:val="43"/>
          <w:b w:val="1"/>
          <w:bCs w:val="1"/>
          <w:color w:val="auto"/>
        </w:rPr>
        <w:t>Firefly Aerospace Inc.</w:t>
      </w:r>
    </w:p>
    <w:p>
      <w:pPr>
        <w:spacing w:after="0" w:line="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(Exact name of Registrant as Specified in Its Charter)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2471420</wp:posOffset>
            </wp:positionH>
            <wp:positionV relativeFrom="paragraph">
              <wp:posOffset>250190</wp:posOffset>
            </wp:positionV>
            <wp:extent cx="123444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34440" cy="8255"/>
                    </a:xfrm>
                    <a:prstGeom prst="rect">
                      <a:avLst/>
                    </a:prstGeom>
                    <a:noFill/>
                  </pic:spPr>
                </pic:pic>
              </a:graphicData>
            </a:graphic>
          </wp:anchor>
        </w:drawing>
      </w:r>
    </w:p>
    <w:p>
      <w:pPr>
        <w:spacing w:after="0" w:line="200" w:lineRule="exact"/>
        <w:rPr>
          <w:sz w:val="20"/>
          <w:szCs w:val="20"/>
          <w:color w:val="auto"/>
        </w:rPr>
      </w:pPr>
    </w:p>
    <w:p>
      <w:pPr>
        <w:spacing w:after="0" w:line="381" w:lineRule="exact"/>
        <w:rPr>
          <w:sz w:val="20"/>
          <w:szCs w:val="20"/>
          <w:color w:val="auto"/>
        </w:rPr>
      </w:pPr>
    </w:p>
    <w:tbl>
      <w:tblPr>
        <w:tblLayout w:type="fixed"/>
        <w:tblInd w:w="840" w:type="dxa"/>
        <w:tblCellMar>
          <w:top w:w="0" w:type="dxa"/>
          <w:left w:w="0" w:type="dxa"/>
          <w:bottom w:w="0" w:type="dxa"/>
          <w:right w:w="0" w:type="dxa"/>
        </w:tblCellMar>
      </w:tblPr>
      <w:tr>
        <w:trPr>
          <w:trHeight w:val="222"/>
        </w:trPr>
        <w:tc>
          <w:tcPr>
            <w:tcW w:w="2780" w:type="dxa"/>
            <w:vAlign w:val="bottom"/>
          </w:tcPr>
          <w:p>
            <w:pPr>
              <w:jc w:val="center"/>
              <w:ind w:right="381"/>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2820" w:type="dxa"/>
            <w:vAlign w:val="bottom"/>
          </w:tcPr>
          <w:p>
            <w:pPr>
              <w:jc w:val="right"/>
              <w:ind w:right="1101"/>
              <w:spacing w:after="0"/>
              <w:rPr>
                <w:sz w:val="20"/>
                <w:szCs w:val="20"/>
                <w:color w:val="auto"/>
              </w:rPr>
            </w:pPr>
            <w:r>
              <w:rPr>
                <w:rFonts w:ascii="Times New Roman" w:cs="Times New Roman" w:eastAsia="Times New Roman" w:hAnsi="Times New Roman"/>
                <w:sz w:val="18"/>
                <w:szCs w:val="18"/>
                <w:b w:val="1"/>
                <w:bCs w:val="1"/>
                <w:color w:val="auto"/>
              </w:rPr>
              <w:t>001-42789</w:t>
            </w:r>
          </w:p>
        </w:tc>
        <w:tc>
          <w:tcPr>
            <w:tcW w:w="1820" w:type="dxa"/>
            <w:vAlign w:val="bottom"/>
          </w:tcPr>
          <w:p>
            <w:pPr>
              <w:jc w:val="right"/>
              <w:ind w:right="4"/>
              <w:spacing w:after="0"/>
              <w:rPr>
                <w:sz w:val="20"/>
                <w:szCs w:val="20"/>
                <w:color w:val="auto"/>
              </w:rPr>
            </w:pPr>
            <w:r>
              <w:rPr>
                <w:rFonts w:ascii="Times New Roman" w:cs="Times New Roman" w:eastAsia="Times New Roman" w:hAnsi="Times New Roman"/>
                <w:sz w:val="18"/>
                <w:szCs w:val="18"/>
                <w:b w:val="1"/>
                <w:bCs w:val="1"/>
                <w:color w:val="auto"/>
              </w:rPr>
              <w:t>81-5194980</w:t>
            </w:r>
          </w:p>
        </w:tc>
      </w:tr>
      <w:tr>
        <w:trPr>
          <w:trHeight w:val="149"/>
        </w:trPr>
        <w:tc>
          <w:tcPr>
            <w:tcW w:w="2780" w:type="dxa"/>
            <w:vAlign w:val="bottom"/>
          </w:tcPr>
          <w:p>
            <w:pPr>
              <w:jc w:val="center"/>
              <w:ind w:right="381"/>
              <w:spacing w:after="0"/>
              <w:rPr>
                <w:sz w:val="20"/>
                <w:szCs w:val="20"/>
                <w:color w:val="auto"/>
              </w:rPr>
            </w:pPr>
            <w:r>
              <w:rPr>
                <w:rFonts w:ascii="Times New Roman" w:cs="Times New Roman" w:eastAsia="Times New Roman" w:hAnsi="Times New Roman"/>
                <w:sz w:val="13"/>
                <w:szCs w:val="13"/>
                <w:b w:val="1"/>
                <w:bCs w:val="1"/>
                <w:color w:val="auto"/>
              </w:rPr>
              <w:t>(State or Other Jurisdiction</w:t>
            </w:r>
          </w:p>
        </w:tc>
        <w:tc>
          <w:tcPr>
            <w:tcW w:w="2820" w:type="dxa"/>
            <w:vAlign w:val="bottom"/>
          </w:tcPr>
          <w:p>
            <w:pPr>
              <w:jc w:val="center"/>
              <w:ind w:right="221"/>
              <w:spacing w:after="0"/>
              <w:rPr>
                <w:sz w:val="20"/>
                <w:szCs w:val="20"/>
                <w:color w:val="auto"/>
              </w:rPr>
            </w:pPr>
            <w:r>
              <w:rPr>
                <w:rFonts w:ascii="Times New Roman" w:cs="Times New Roman" w:eastAsia="Times New Roman" w:hAnsi="Times New Roman"/>
                <w:sz w:val="13"/>
                <w:szCs w:val="13"/>
                <w:b w:val="1"/>
                <w:bCs w:val="1"/>
                <w:color w:val="auto"/>
              </w:rPr>
              <w:t>(Commission File Number)</w:t>
            </w:r>
          </w:p>
        </w:tc>
        <w:tc>
          <w:tcPr>
            <w:tcW w:w="1820" w:type="dxa"/>
            <w:vAlign w:val="bottom"/>
          </w:tcPr>
          <w:p>
            <w:pPr>
              <w:jc w:val="center"/>
              <w:ind w:left="704"/>
              <w:spacing w:after="0"/>
              <w:rPr>
                <w:sz w:val="20"/>
                <w:szCs w:val="20"/>
                <w:color w:val="auto"/>
              </w:rPr>
            </w:pPr>
            <w:r>
              <w:rPr>
                <w:rFonts w:ascii="Times New Roman" w:cs="Times New Roman" w:eastAsia="Times New Roman" w:hAnsi="Times New Roman"/>
                <w:sz w:val="13"/>
                <w:szCs w:val="13"/>
                <w:b w:val="1"/>
                <w:bCs w:val="1"/>
                <w:color w:val="auto"/>
              </w:rPr>
              <w:t>(IRS Employer</w:t>
            </w:r>
          </w:p>
        </w:tc>
      </w:tr>
      <w:tr>
        <w:trPr>
          <w:trHeight w:val="178"/>
        </w:trPr>
        <w:tc>
          <w:tcPr>
            <w:tcW w:w="2780" w:type="dxa"/>
            <w:vAlign w:val="bottom"/>
          </w:tcPr>
          <w:p>
            <w:pPr>
              <w:jc w:val="center"/>
              <w:ind w:right="381"/>
              <w:spacing w:after="0"/>
              <w:rPr>
                <w:sz w:val="20"/>
                <w:szCs w:val="20"/>
                <w:color w:val="auto"/>
              </w:rPr>
            </w:pPr>
            <w:r>
              <w:rPr>
                <w:rFonts w:ascii="Times New Roman" w:cs="Times New Roman" w:eastAsia="Times New Roman" w:hAnsi="Times New Roman"/>
                <w:sz w:val="13"/>
                <w:szCs w:val="13"/>
                <w:b w:val="1"/>
                <w:bCs w:val="1"/>
                <w:color w:val="auto"/>
              </w:rPr>
              <w:t>of Incorporation)</w:t>
            </w:r>
          </w:p>
        </w:tc>
        <w:tc>
          <w:tcPr>
            <w:tcW w:w="2820" w:type="dxa"/>
            <w:vAlign w:val="bottom"/>
          </w:tcPr>
          <w:p>
            <w:pPr>
              <w:spacing w:after="0"/>
              <w:rPr>
                <w:sz w:val="15"/>
                <w:szCs w:val="15"/>
                <w:color w:val="auto"/>
              </w:rPr>
            </w:pPr>
          </w:p>
        </w:tc>
        <w:tc>
          <w:tcPr>
            <w:tcW w:w="1820" w:type="dxa"/>
            <w:vAlign w:val="bottom"/>
          </w:tcPr>
          <w:p>
            <w:pPr>
              <w:jc w:val="center"/>
              <w:ind w:left="704"/>
              <w:spacing w:after="0"/>
              <w:rPr>
                <w:sz w:val="20"/>
                <w:szCs w:val="20"/>
                <w:color w:val="auto"/>
              </w:rPr>
            </w:pPr>
            <w:r>
              <w:rPr>
                <w:rFonts w:ascii="Times New Roman" w:cs="Times New Roman" w:eastAsia="Times New Roman" w:hAnsi="Times New Roman"/>
                <w:sz w:val="13"/>
                <w:szCs w:val="13"/>
                <w:b w:val="1"/>
                <w:bCs w:val="1"/>
                <w:color w:val="auto"/>
              </w:rPr>
              <w:t>Identification No.)</w:t>
            </w:r>
          </w:p>
        </w:tc>
      </w:tr>
      <w:tr>
        <w:trPr>
          <w:trHeight w:val="397"/>
        </w:trPr>
        <w:tc>
          <w:tcPr>
            <w:tcW w:w="2780" w:type="dxa"/>
            <w:vAlign w:val="bottom"/>
          </w:tcPr>
          <w:p>
            <w:pPr>
              <w:jc w:val="center"/>
              <w:ind w:right="361"/>
              <w:spacing w:after="0"/>
              <w:rPr>
                <w:sz w:val="20"/>
                <w:szCs w:val="20"/>
                <w:color w:val="auto"/>
              </w:rPr>
            </w:pPr>
            <w:r>
              <w:rPr>
                <w:rFonts w:ascii="Times New Roman" w:cs="Times New Roman" w:eastAsia="Times New Roman" w:hAnsi="Times New Roman"/>
                <w:sz w:val="18"/>
                <w:szCs w:val="18"/>
                <w:b w:val="1"/>
                <w:bCs w:val="1"/>
                <w:color w:val="auto"/>
                <w:w w:val="99"/>
              </w:rPr>
              <w:t>2203 Scottsdale Drive</w:t>
            </w:r>
          </w:p>
        </w:tc>
        <w:tc>
          <w:tcPr>
            <w:tcW w:w="2820" w:type="dxa"/>
            <w:vAlign w:val="bottom"/>
          </w:tcPr>
          <w:p>
            <w:pPr>
              <w:spacing w:after="0"/>
              <w:rPr>
                <w:sz w:val="24"/>
                <w:szCs w:val="24"/>
                <w:color w:val="auto"/>
              </w:rPr>
            </w:pPr>
          </w:p>
        </w:tc>
        <w:tc>
          <w:tcPr>
            <w:tcW w:w="1820" w:type="dxa"/>
            <w:vAlign w:val="bottom"/>
          </w:tcPr>
          <w:p>
            <w:pPr>
              <w:spacing w:after="0"/>
              <w:rPr>
                <w:sz w:val="24"/>
                <w:szCs w:val="24"/>
                <w:color w:val="auto"/>
              </w:rPr>
            </w:pPr>
          </w:p>
        </w:tc>
      </w:tr>
      <w:tr>
        <w:trPr>
          <w:trHeight w:val="222"/>
        </w:trPr>
        <w:tc>
          <w:tcPr>
            <w:tcW w:w="2780" w:type="dxa"/>
            <w:vAlign w:val="bottom"/>
          </w:tcPr>
          <w:p>
            <w:pPr>
              <w:jc w:val="center"/>
              <w:ind w:right="381"/>
              <w:spacing w:after="0"/>
              <w:rPr>
                <w:sz w:val="20"/>
                <w:szCs w:val="20"/>
                <w:color w:val="auto"/>
              </w:rPr>
            </w:pPr>
            <w:r>
              <w:rPr>
                <w:rFonts w:ascii="Times New Roman" w:cs="Times New Roman" w:eastAsia="Times New Roman" w:hAnsi="Times New Roman"/>
                <w:sz w:val="18"/>
                <w:szCs w:val="18"/>
                <w:b w:val="1"/>
                <w:bCs w:val="1"/>
                <w:color w:val="auto"/>
              </w:rPr>
              <w:t>Leander, Texas</w:t>
            </w:r>
          </w:p>
        </w:tc>
        <w:tc>
          <w:tcPr>
            <w:tcW w:w="2820" w:type="dxa"/>
            <w:vAlign w:val="bottom"/>
          </w:tcPr>
          <w:p>
            <w:pPr>
              <w:spacing w:after="0"/>
              <w:rPr>
                <w:sz w:val="19"/>
                <w:szCs w:val="19"/>
                <w:color w:val="auto"/>
              </w:rPr>
            </w:pPr>
          </w:p>
        </w:tc>
        <w:tc>
          <w:tcPr>
            <w:tcW w:w="1820" w:type="dxa"/>
            <w:vAlign w:val="bottom"/>
          </w:tcPr>
          <w:p>
            <w:pPr>
              <w:jc w:val="right"/>
              <w:ind w:right="224"/>
              <w:spacing w:after="0"/>
              <w:rPr>
                <w:sz w:val="20"/>
                <w:szCs w:val="20"/>
                <w:color w:val="auto"/>
              </w:rPr>
            </w:pPr>
            <w:r>
              <w:rPr>
                <w:rFonts w:ascii="Times New Roman" w:cs="Times New Roman" w:eastAsia="Times New Roman" w:hAnsi="Times New Roman"/>
                <w:sz w:val="18"/>
                <w:szCs w:val="18"/>
                <w:b w:val="1"/>
                <w:bCs w:val="1"/>
                <w:color w:val="auto"/>
              </w:rPr>
              <w:t>78641</w:t>
            </w:r>
          </w:p>
        </w:tc>
      </w:tr>
      <w:tr>
        <w:trPr>
          <w:trHeight w:val="178"/>
        </w:trPr>
        <w:tc>
          <w:tcPr>
            <w:tcW w:w="2780" w:type="dxa"/>
            <w:vAlign w:val="bottom"/>
          </w:tcPr>
          <w:p>
            <w:pPr>
              <w:jc w:val="center"/>
              <w:ind w:right="381"/>
              <w:spacing w:after="0"/>
              <w:rPr>
                <w:sz w:val="20"/>
                <w:szCs w:val="20"/>
                <w:color w:val="auto"/>
              </w:rPr>
            </w:pPr>
            <w:r>
              <w:rPr>
                <w:rFonts w:ascii="Times New Roman" w:cs="Times New Roman" w:eastAsia="Times New Roman" w:hAnsi="Times New Roman"/>
                <w:sz w:val="13"/>
                <w:szCs w:val="13"/>
                <w:b w:val="1"/>
                <w:bCs w:val="1"/>
                <w:color w:val="auto"/>
              </w:rPr>
              <w:t>(Address of Principal Executive Offices)</w:t>
            </w:r>
          </w:p>
        </w:tc>
        <w:tc>
          <w:tcPr>
            <w:tcW w:w="2820" w:type="dxa"/>
            <w:vAlign w:val="bottom"/>
          </w:tcPr>
          <w:p>
            <w:pPr>
              <w:spacing w:after="0"/>
              <w:rPr>
                <w:sz w:val="15"/>
                <w:szCs w:val="15"/>
                <w:color w:val="auto"/>
              </w:rPr>
            </w:pPr>
          </w:p>
        </w:tc>
        <w:tc>
          <w:tcPr>
            <w:tcW w:w="1820" w:type="dxa"/>
            <w:vAlign w:val="bottom"/>
          </w:tcPr>
          <w:p>
            <w:pPr>
              <w:jc w:val="center"/>
              <w:ind w:left="704"/>
              <w:spacing w:after="0"/>
              <w:rPr>
                <w:sz w:val="20"/>
                <w:szCs w:val="20"/>
                <w:color w:val="auto"/>
              </w:rPr>
            </w:pPr>
            <w:r>
              <w:rPr>
                <w:rFonts w:ascii="Times New Roman" w:cs="Times New Roman" w:eastAsia="Times New Roman" w:hAnsi="Times New Roman"/>
                <w:sz w:val="13"/>
                <w:szCs w:val="13"/>
                <w:b w:val="1"/>
                <w:bCs w:val="1"/>
                <w:color w:val="auto"/>
              </w:rPr>
              <w:t>(Zip Code)</w:t>
            </w:r>
          </w:p>
        </w:tc>
      </w:tr>
    </w:tbl>
    <w:p>
      <w:pPr>
        <w:spacing w:after="0" w:line="200" w:lineRule="exact"/>
        <w:rPr>
          <w:sz w:val="20"/>
          <w:szCs w:val="20"/>
          <w:color w:val="auto"/>
        </w:rPr>
      </w:pPr>
    </w:p>
    <w:p>
      <w:pPr>
        <w:spacing w:after="0" w:line="210"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Registrant’s Telephone Number, Including Area Code: 512 893-5570</w:t>
      </w:r>
    </w:p>
    <w:p>
      <w:pPr>
        <w:spacing w:after="0" w:line="3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N/A</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(Former Name or Former Address, if Changed Since Last Report)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2471420</wp:posOffset>
            </wp:positionH>
            <wp:positionV relativeFrom="paragraph">
              <wp:posOffset>248285</wp:posOffset>
            </wp:positionV>
            <wp:extent cx="123444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234440" cy="8255"/>
                    </a:xfrm>
                    <a:prstGeom prst="rect">
                      <a:avLst/>
                    </a:prstGeom>
                    <a:noFill/>
                  </pic:spPr>
                </pic:pic>
              </a:graphicData>
            </a:graphic>
          </wp:anchor>
        </w:drawing>
      </w:r>
    </w:p>
    <w:p>
      <w:pPr>
        <w:spacing w:after="0" w:line="200" w:lineRule="exact"/>
        <w:rPr>
          <w:sz w:val="20"/>
          <w:szCs w:val="20"/>
          <w:color w:val="auto"/>
        </w:rPr>
      </w:pPr>
    </w:p>
    <w:p>
      <w:pPr>
        <w:spacing w:after="0" w:line="328" w:lineRule="exact"/>
        <w:rPr>
          <w:sz w:val="20"/>
          <w:szCs w:val="20"/>
          <w:color w:val="auto"/>
        </w:rPr>
      </w:pPr>
    </w:p>
    <w:p>
      <w:pPr>
        <w:ind w:right="40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54" w:lineRule="exact"/>
        <w:rPr>
          <w:sz w:val="20"/>
          <w:szCs w:val="20"/>
          <w:color w:val="auto"/>
        </w:rPr>
      </w:pPr>
    </w:p>
    <w:p>
      <w:pPr>
        <w:ind w:left="820" w:hanging="376"/>
        <w:spacing w:after="0"/>
        <w:tabs>
          <w:tab w:leader="none" w:pos="82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117" w:lineRule="exact"/>
        <w:rPr>
          <w:rFonts w:ascii="MS PGothic" w:cs="MS PGothic" w:eastAsia="MS PGothic" w:hAnsi="MS PGothic"/>
          <w:sz w:val="18"/>
          <w:szCs w:val="18"/>
          <w:color w:val="auto"/>
        </w:rPr>
      </w:pPr>
    </w:p>
    <w:p>
      <w:pPr>
        <w:ind w:left="820" w:hanging="376"/>
        <w:spacing w:after="0"/>
        <w:tabs>
          <w:tab w:leader="none" w:pos="82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117" w:lineRule="exact"/>
        <w:rPr>
          <w:rFonts w:ascii="MS PGothic" w:cs="MS PGothic" w:eastAsia="MS PGothic" w:hAnsi="MS PGothic"/>
          <w:sz w:val="18"/>
          <w:szCs w:val="18"/>
          <w:color w:val="auto"/>
        </w:rPr>
      </w:pPr>
    </w:p>
    <w:p>
      <w:pPr>
        <w:ind w:left="820" w:hanging="376"/>
        <w:spacing w:after="0"/>
        <w:tabs>
          <w:tab w:leader="none" w:pos="82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117" w:lineRule="exact"/>
        <w:rPr>
          <w:rFonts w:ascii="MS PGothic" w:cs="MS PGothic" w:eastAsia="MS PGothic" w:hAnsi="MS PGothic"/>
          <w:sz w:val="18"/>
          <w:szCs w:val="18"/>
          <w:color w:val="auto"/>
        </w:rPr>
      </w:pPr>
    </w:p>
    <w:p>
      <w:pPr>
        <w:ind w:left="820" w:hanging="376"/>
        <w:spacing w:after="0"/>
        <w:tabs>
          <w:tab w:leader="none" w:pos="82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1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Securities registered pursuant to Section 12(b) of the Act:</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Trading</w:t>
            </w:r>
          </w:p>
        </w:tc>
        <w:tc>
          <w:tcPr>
            <w:tcW w:w="120" w:type="dxa"/>
            <w:vAlign w:val="bottom"/>
          </w:tcPr>
          <w:p>
            <w:pPr>
              <w:spacing w:after="0"/>
              <w:rPr>
                <w:sz w:val="18"/>
                <w:szCs w:val="18"/>
                <w:color w:val="auto"/>
              </w:rPr>
            </w:pPr>
          </w:p>
        </w:tc>
        <w:tc>
          <w:tcPr>
            <w:tcW w:w="4340" w:type="dxa"/>
            <w:vAlign w:val="bottom"/>
          </w:tcPr>
          <w:p>
            <w:pPr>
              <w:spacing w:after="0"/>
              <w:rPr>
                <w:sz w:val="18"/>
                <w:szCs w:val="18"/>
                <w:color w:val="auto"/>
              </w:rPr>
            </w:pPr>
          </w:p>
        </w:tc>
      </w:tr>
      <w:tr>
        <w:trPr>
          <w:trHeight w:val="238"/>
        </w:trPr>
        <w:tc>
          <w:tcPr>
            <w:tcW w:w="36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Title of each class</w:t>
            </w:r>
          </w:p>
        </w:tc>
        <w:tc>
          <w:tcPr>
            <w:tcW w:w="120" w:type="dxa"/>
            <w:vAlign w:val="bottom"/>
          </w:tcPr>
          <w:p>
            <w:pPr>
              <w:spacing w:after="0"/>
              <w:rPr>
                <w:sz w:val="20"/>
                <w:szCs w:val="20"/>
                <w:color w:val="auto"/>
              </w:rPr>
            </w:pPr>
          </w:p>
        </w:tc>
        <w:tc>
          <w:tcPr>
            <w:tcW w:w="14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Symbol(s)</w:t>
            </w:r>
          </w:p>
        </w:tc>
        <w:tc>
          <w:tcPr>
            <w:tcW w:w="120" w:type="dxa"/>
            <w:vAlign w:val="bottom"/>
          </w:tcPr>
          <w:p>
            <w:pPr>
              <w:spacing w:after="0"/>
              <w:rPr>
                <w:sz w:val="20"/>
                <w:szCs w:val="20"/>
                <w:color w:val="auto"/>
              </w:rPr>
            </w:pPr>
          </w:p>
        </w:tc>
        <w:tc>
          <w:tcPr>
            <w:tcW w:w="43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Name of each exchange on which registered</w:t>
            </w:r>
          </w:p>
        </w:tc>
      </w:tr>
      <w:tr>
        <w:trPr>
          <w:trHeight w:val="228"/>
        </w:trPr>
        <w:tc>
          <w:tcPr>
            <w:tcW w:w="36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Common stock, par value $0.0001 per share</w:t>
            </w:r>
          </w:p>
        </w:tc>
        <w:tc>
          <w:tcPr>
            <w:tcW w:w="120" w:type="dxa"/>
            <w:vAlign w:val="bottom"/>
          </w:tcPr>
          <w:p>
            <w:pPr>
              <w:spacing w:after="0"/>
              <w:rPr>
                <w:sz w:val="19"/>
                <w:szCs w:val="19"/>
                <w:color w:val="auto"/>
              </w:rPr>
            </w:pPr>
          </w:p>
        </w:tc>
        <w:tc>
          <w:tcPr>
            <w:tcW w:w="14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FLY</w:t>
            </w:r>
          </w:p>
        </w:tc>
        <w:tc>
          <w:tcPr>
            <w:tcW w:w="120" w:type="dxa"/>
            <w:vAlign w:val="bottom"/>
          </w:tcPr>
          <w:p>
            <w:pPr>
              <w:spacing w:after="0"/>
              <w:rPr>
                <w:sz w:val="19"/>
                <w:szCs w:val="19"/>
                <w:color w:val="auto"/>
              </w:rPr>
            </w:pPr>
          </w:p>
        </w:tc>
        <w:tc>
          <w:tcPr>
            <w:tcW w:w="43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The Nasdaq Stock Market LLC</w:t>
            </w:r>
          </w:p>
        </w:tc>
      </w:tr>
    </w:tbl>
    <w:p>
      <w:pPr>
        <w:spacing w:after="0" w:line="179" w:lineRule="exact"/>
        <w:rPr>
          <w:sz w:val="20"/>
          <w:szCs w:val="20"/>
          <w:color w:val="auto"/>
        </w:rPr>
      </w:pPr>
    </w:p>
    <w:p>
      <w:pPr>
        <w:ind w:right="28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 230.405 of this chapter) or Rule 12b-2 of the Securities Exchange Act of 1934 (§ 240.12b-2 of this chapter).</w:t>
      </w:r>
    </w:p>
    <w:p>
      <w:pPr>
        <w:spacing w:after="0" w:line="67" w:lineRule="exact"/>
        <w:rPr>
          <w:sz w:val="20"/>
          <w:szCs w:val="20"/>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12" w:lineRule="exact"/>
        <w:rPr>
          <w:sz w:val="20"/>
          <w:szCs w:val="20"/>
          <w:color w:val="auto"/>
        </w:rPr>
      </w:pPr>
    </w:p>
    <w:p>
      <w:pPr>
        <w:ind w:right="460"/>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-429895</wp:posOffset>
            </wp:positionH>
            <wp:positionV relativeFrom="paragraph">
              <wp:posOffset>612775</wp:posOffset>
            </wp:positionV>
            <wp:extent cx="7037705"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037705" cy="42545"/>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137160</wp:posOffset>
            </wp:positionV>
            <wp:extent cx="617220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172200" cy="8255"/>
                    </a:xfrm>
                    <a:prstGeom prst="rect">
                      <a:avLst/>
                    </a:prstGeom>
                    <a:noFill/>
                  </pic:spPr>
                </pic:pic>
              </a:graphicData>
            </a:graphic>
          </wp:anchor>
        </w:drawing>
      </w:r>
    </w:p>
    <w:p>
      <w:pPr>
        <w:sectPr>
          <w:pgSz w:w="11900" w:h="16838" w:orient="portrait"/>
          <w:cols w:equalWidth="0" w:num="1">
            <w:col w:w="9720"/>
          </w:cols>
          <w:pgMar w:left="1080" w:top="1321" w:right="109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b w:val="1"/>
          <w:bCs w:val="1"/>
          <w:color w:val="auto"/>
        </w:rPr>
        <w:t>Item 5.07 Submission of Matters to a Vote of Security Holders.</w:t>
      </w:r>
    </w:p>
    <w:p>
      <w:pPr>
        <w:spacing w:after="0" w:line="12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Firefly Aerospace Inc. (the “Company”) held its annual meeting of stockholders (the “Annual Meeting”) on June 4, 2026. The matters voted upon by the Company’s stockholders at the Annual Meeting and the voting results for each proposal are set forth below. Voting results are, when applicable, reported by rounding fractional share voting down to the nearest round number.</w:t>
      </w:r>
    </w:p>
    <w:p>
      <w:pPr>
        <w:spacing w:after="0" w:line="280"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64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Proposal 1: Election of Directors</w:t>
            </w:r>
          </w:p>
        </w:tc>
        <w:tc>
          <w:tcPr>
            <w:tcW w:w="2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1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140" w:type="dxa"/>
            <w:vAlign w:val="bottom"/>
          </w:tcPr>
          <w:p>
            <w:pPr>
              <w:spacing w:after="0"/>
              <w:rPr>
                <w:sz w:val="20"/>
                <w:szCs w:val="20"/>
                <w:color w:val="auto"/>
              </w:rPr>
            </w:pPr>
          </w:p>
        </w:tc>
      </w:tr>
      <w:tr>
        <w:trPr>
          <w:trHeight w:val="432"/>
        </w:trPr>
        <w:tc>
          <w:tcPr>
            <w:tcW w:w="300" w:type="dxa"/>
            <w:vAlign w:val="bottom"/>
          </w:tcPr>
          <w:p>
            <w:pPr>
              <w:spacing w:after="0"/>
              <w:rPr>
                <w:sz w:val="24"/>
                <w:szCs w:val="24"/>
                <w:color w:val="auto"/>
              </w:rPr>
            </w:pPr>
          </w:p>
        </w:tc>
        <w:tc>
          <w:tcPr>
            <w:tcW w:w="21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Name of Director Nominee</w:t>
            </w:r>
          </w:p>
        </w:tc>
        <w:tc>
          <w:tcPr>
            <w:tcW w:w="200" w:type="dxa"/>
            <w:vAlign w:val="bottom"/>
          </w:tcPr>
          <w:p>
            <w:pPr>
              <w:spacing w:after="0"/>
              <w:rPr>
                <w:sz w:val="24"/>
                <w:szCs w:val="24"/>
                <w:color w:val="auto"/>
              </w:rPr>
            </w:pPr>
          </w:p>
        </w:tc>
        <w:tc>
          <w:tcPr>
            <w:tcW w:w="21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For</w:t>
            </w:r>
          </w:p>
        </w:tc>
        <w:tc>
          <w:tcPr>
            <w:tcW w:w="200" w:type="dxa"/>
            <w:vAlign w:val="bottom"/>
          </w:tcPr>
          <w:p>
            <w:pPr>
              <w:spacing w:after="0"/>
              <w:rPr>
                <w:sz w:val="24"/>
                <w:szCs w:val="24"/>
                <w:color w:val="auto"/>
              </w:rPr>
            </w:pPr>
          </w:p>
        </w:tc>
        <w:tc>
          <w:tcPr>
            <w:tcW w:w="2140" w:type="dxa"/>
            <w:vAlign w:val="bottom"/>
            <w:tcBorders>
              <w:bottom w:val="single" w:sz="8" w:color="auto"/>
            </w:tcBorders>
          </w:tcPr>
          <w:p>
            <w:pPr>
              <w:ind w:left="700"/>
              <w:spacing w:after="0"/>
              <w:rPr>
                <w:sz w:val="20"/>
                <w:szCs w:val="20"/>
                <w:color w:val="auto"/>
              </w:rPr>
            </w:pPr>
            <w:r>
              <w:rPr>
                <w:rFonts w:ascii="Times New Roman" w:cs="Times New Roman" w:eastAsia="Times New Roman" w:hAnsi="Times New Roman"/>
                <w:sz w:val="18"/>
                <w:szCs w:val="18"/>
                <w:b w:val="1"/>
                <w:bCs w:val="1"/>
                <w:color w:val="auto"/>
              </w:rPr>
              <w:t>Withheld</w:t>
            </w:r>
          </w:p>
        </w:tc>
        <w:tc>
          <w:tcPr>
            <w:tcW w:w="180" w:type="dxa"/>
            <w:vAlign w:val="bottom"/>
          </w:tcPr>
          <w:p>
            <w:pPr>
              <w:spacing w:after="0"/>
              <w:rPr>
                <w:sz w:val="24"/>
                <w:szCs w:val="24"/>
                <w:color w:val="auto"/>
              </w:rPr>
            </w:pPr>
          </w:p>
        </w:tc>
        <w:tc>
          <w:tcPr>
            <w:tcW w:w="21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Broker Non-Votes</w:t>
            </w:r>
          </w:p>
        </w:tc>
      </w:tr>
      <w:tr>
        <w:trPr>
          <w:trHeight w:val="210"/>
        </w:trPr>
        <w:tc>
          <w:tcPr>
            <w:tcW w:w="300" w:type="dxa"/>
            <w:vAlign w:val="bottom"/>
          </w:tcPr>
          <w:p>
            <w:pPr>
              <w:spacing w:after="0"/>
              <w:rPr>
                <w:sz w:val="18"/>
                <w:szCs w:val="18"/>
                <w:color w:val="auto"/>
              </w:rPr>
            </w:pPr>
          </w:p>
        </w:tc>
        <w:tc>
          <w:tcPr>
            <w:tcW w:w="2340" w:type="dxa"/>
            <w:vAlign w:val="bottom"/>
            <w:gridSpan w:val="2"/>
            <w:shd w:val="clear" w:color="auto" w:fill="CEEEFB"/>
          </w:tcPr>
          <w:p>
            <w:pPr>
              <w:spacing w:after="0"/>
              <w:rPr>
                <w:sz w:val="20"/>
                <w:szCs w:val="20"/>
                <w:color w:val="auto"/>
              </w:rPr>
            </w:pPr>
            <w:r>
              <w:rPr>
                <w:rFonts w:ascii="Times New Roman" w:cs="Times New Roman" w:eastAsia="Times New Roman" w:hAnsi="Times New Roman"/>
                <w:sz w:val="18"/>
                <w:szCs w:val="18"/>
                <w:color w:val="auto"/>
              </w:rPr>
              <w:t>Jason Kim</w:t>
            </w:r>
          </w:p>
        </w:tc>
        <w:tc>
          <w:tcPr>
            <w:tcW w:w="2120" w:type="dxa"/>
            <w:vAlign w:val="bottom"/>
            <w:shd w:val="clear" w:color="auto" w:fill="CEEEFB"/>
          </w:tcPr>
          <w:p>
            <w:pPr>
              <w:jc w:val="center"/>
              <w:spacing w:after="0"/>
              <w:rPr>
                <w:sz w:val="20"/>
                <w:szCs w:val="20"/>
                <w:color w:val="auto"/>
              </w:rPr>
            </w:pPr>
            <w:r>
              <w:rPr>
                <w:rFonts w:ascii="Times New Roman" w:cs="Times New Roman" w:eastAsia="Times New Roman" w:hAnsi="Times New Roman"/>
                <w:sz w:val="18"/>
                <w:szCs w:val="18"/>
                <w:color w:val="auto"/>
                <w:w w:val="98"/>
              </w:rPr>
              <w:t>90,751,983</w:t>
            </w:r>
          </w:p>
        </w:tc>
        <w:tc>
          <w:tcPr>
            <w:tcW w:w="2340" w:type="dxa"/>
            <w:vAlign w:val="bottom"/>
            <w:gridSpan w:val="2"/>
            <w:shd w:val="clear" w:color="auto" w:fill="CEEEFB"/>
          </w:tcPr>
          <w:p>
            <w:pPr>
              <w:ind w:left="900"/>
              <w:spacing w:after="0"/>
              <w:rPr>
                <w:sz w:val="20"/>
                <w:szCs w:val="20"/>
                <w:color w:val="auto"/>
              </w:rPr>
            </w:pPr>
            <w:r>
              <w:rPr>
                <w:rFonts w:ascii="Times New Roman" w:cs="Times New Roman" w:eastAsia="Times New Roman" w:hAnsi="Times New Roman"/>
                <w:sz w:val="18"/>
                <w:szCs w:val="18"/>
                <w:color w:val="auto"/>
              </w:rPr>
              <w:t>6,123,118</w:t>
            </w:r>
          </w:p>
        </w:tc>
        <w:tc>
          <w:tcPr>
            <w:tcW w:w="2320" w:type="dxa"/>
            <w:vAlign w:val="bottom"/>
            <w:gridSpan w:val="2"/>
            <w:shd w:val="clear" w:color="auto" w:fill="CEEEFB"/>
          </w:tcPr>
          <w:p>
            <w:pPr>
              <w:jc w:val="center"/>
              <w:ind w:left="90"/>
              <w:spacing w:after="0"/>
              <w:rPr>
                <w:sz w:val="20"/>
                <w:szCs w:val="20"/>
                <w:color w:val="auto"/>
              </w:rPr>
            </w:pPr>
            <w:r>
              <w:rPr>
                <w:rFonts w:ascii="Times New Roman" w:cs="Times New Roman" w:eastAsia="Times New Roman" w:hAnsi="Times New Roman"/>
                <w:sz w:val="18"/>
                <w:szCs w:val="18"/>
                <w:color w:val="auto"/>
              </w:rPr>
              <w:t>21,518,588</w:t>
            </w:r>
          </w:p>
        </w:tc>
      </w:tr>
      <w:tr>
        <w:trPr>
          <w:trHeight w:val="234"/>
        </w:trPr>
        <w:tc>
          <w:tcPr>
            <w:tcW w:w="300" w:type="dxa"/>
            <w:vAlign w:val="bottom"/>
          </w:tcPr>
          <w:p>
            <w:pPr>
              <w:spacing w:after="0"/>
              <w:rPr>
                <w:sz w:val="20"/>
                <w:szCs w:val="20"/>
                <w:color w:val="auto"/>
              </w:rPr>
            </w:pPr>
          </w:p>
        </w:tc>
        <w:tc>
          <w:tcPr>
            <w:tcW w:w="23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Kevin McAllister</w:t>
            </w:r>
          </w:p>
        </w:tc>
        <w:tc>
          <w:tcPr>
            <w:tcW w:w="21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88,953,164</w:t>
            </w:r>
          </w:p>
        </w:tc>
        <w:tc>
          <w:tcPr>
            <w:tcW w:w="2340" w:type="dxa"/>
            <w:vAlign w:val="bottom"/>
            <w:gridSpan w:val="2"/>
          </w:tcPr>
          <w:p>
            <w:pPr>
              <w:ind w:left="900"/>
              <w:spacing w:after="0"/>
              <w:rPr>
                <w:sz w:val="20"/>
                <w:szCs w:val="20"/>
                <w:color w:val="auto"/>
              </w:rPr>
            </w:pPr>
            <w:r>
              <w:rPr>
                <w:rFonts w:ascii="Times New Roman" w:cs="Times New Roman" w:eastAsia="Times New Roman" w:hAnsi="Times New Roman"/>
                <w:sz w:val="18"/>
                <w:szCs w:val="18"/>
                <w:color w:val="auto"/>
              </w:rPr>
              <w:t>7,921,937</w:t>
            </w:r>
          </w:p>
        </w:tc>
        <w:tc>
          <w:tcPr>
            <w:tcW w:w="2320" w:type="dxa"/>
            <w:vAlign w:val="bottom"/>
            <w:gridSpan w:val="2"/>
          </w:tcPr>
          <w:p>
            <w:pPr>
              <w:jc w:val="center"/>
              <w:ind w:left="90"/>
              <w:spacing w:after="0"/>
              <w:rPr>
                <w:sz w:val="20"/>
                <w:szCs w:val="20"/>
                <w:color w:val="auto"/>
              </w:rPr>
            </w:pPr>
            <w:r>
              <w:rPr>
                <w:rFonts w:ascii="Times New Roman" w:cs="Times New Roman" w:eastAsia="Times New Roman" w:hAnsi="Times New Roman"/>
                <w:sz w:val="18"/>
                <w:szCs w:val="18"/>
                <w:color w:val="auto"/>
              </w:rPr>
              <w:t>21,518,588</w:t>
            </w:r>
          </w:p>
        </w:tc>
      </w:tr>
    </w:tbl>
    <w:p>
      <w:pPr>
        <w:spacing w:after="0" w:line="179" w:lineRule="exact"/>
        <w:rPr>
          <w:sz w:val="20"/>
          <w:szCs w:val="20"/>
          <w:color w:val="auto"/>
        </w:rPr>
      </w:pPr>
    </w:p>
    <w:p>
      <w:pPr>
        <w:ind w:right="180"/>
        <w:spacing w:after="0" w:line="282" w:lineRule="auto"/>
        <w:rPr>
          <w:sz w:val="20"/>
          <w:szCs w:val="20"/>
          <w:color w:val="auto"/>
        </w:rPr>
      </w:pPr>
      <w:r>
        <w:rPr>
          <w:rFonts w:ascii="Times New Roman" w:cs="Times New Roman" w:eastAsia="Times New Roman" w:hAnsi="Times New Roman"/>
          <w:sz w:val="18"/>
          <w:szCs w:val="18"/>
          <w:color w:val="auto"/>
        </w:rPr>
        <w:t>Each director nominee was duly elected to serve a three-year term expiring at the 2029 annual meeting of stockholders and until his respective successor is duly elected and qualified, subject to earlier death, resignation or removal.</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Proposal 2: Ratification of the Appointment of Independent Registered Public Accounting Firm</w:t>
      </w:r>
    </w:p>
    <w:p>
      <w:pPr>
        <w:spacing w:after="0" w:line="225" w:lineRule="exact"/>
        <w:rPr>
          <w:sz w:val="20"/>
          <w:szCs w:val="20"/>
          <w:color w:val="auto"/>
        </w:rPr>
      </w:pPr>
    </w:p>
    <w:tbl>
      <w:tblPr>
        <w:tblLayout w:type="fixed"/>
        <w:tblInd w:w="300" w:type="dxa"/>
        <w:tblCellMar>
          <w:top w:w="0" w:type="dxa"/>
          <w:left w:w="0" w:type="dxa"/>
          <w:bottom w:w="0" w:type="dxa"/>
          <w:right w:w="0" w:type="dxa"/>
        </w:tblCellMar>
      </w:tblPr>
      <w:tr>
        <w:trPr>
          <w:trHeight w:val="238"/>
        </w:trPr>
        <w:tc>
          <w:tcPr>
            <w:tcW w:w="21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For</w:t>
            </w:r>
          </w:p>
        </w:tc>
        <w:tc>
          <w:tcPr>
            <w:tcW w:w="200" w:type="dxa"/>
            <w:vAlign w:val="bottom"/>
          </w:tcPr>
          <w:p>
            <w:pPr>
              <w:spacing w:after="0"/>
              <w:rPr>
                <w:sz w:val="20"/>
                <w:szCs w:val="20"/>
                <w:color w:val="auto"/>
              </w:rPr>
            </w:pPr>
          </w:p>
        </w:tc>
        <w:tc>
          <w:tcPr>
            <w:tcW w:w="2120" w:type="dxa"/>
            <w:vAlign w:val="bottom"/>
            <w:tcBorders>
              <w:bottom w:val="single" w:sz="8" w:color="auto"/>
            </w:tcBorders>
          </w:tcPr>
          <w:p>
            <w:pPr>
              <w:ind w:left="760"/>
              <w:spacing w:after="0"/>
              <w:rPr>
                <w:sz w:val="20"/>
                <w:szCs w:val="20"/>
                <w:color w:val="auto"/>
              </w:rPr>
            </w:pPr>
            <w:r>
              <w:rPr>
                <w:rFonts w:ascii="Times New Roman" w:cs="Times New Roman" w:eastAsia="Times New Roman" w:hAnsi="Times New Roman"/>
                <w:sz w:val="18"/>
                <w:szCs w:val="18"/>
                <w:b w:val="1"/>
                <w:bCs w:val="1"/>
                <w:color w:val="auto"/>
              </w:rPr>
              <w:t>Against</w:t>
            </w:r>
          </w:p>
        </w:tc>
        <w:tc>
          <w:tcPr>
            <w:tcW w:w="200" w:type="dxa"/>
            <w:vAlign w:val="bottom"/>
          </w:tcPr>
          <w:p>
            <w:pPr>
              <w:spacing w:after="0"/>
              <w:rPr>
                <w:sz w:val="20"/>
                <w:szCs w:val="20"/>
                <w:color w:val="auto"/>
              </w:rPr>
            </w:pPr>
          </w:p>
        </w:tc>
        <w:tc>
          <w:tcPr>
            <w:tcW w:w="21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Abstain</w:t>
            </w:r>
          </w:p>
        </w:tc>
        <w:tc>
          <w:tcPr>
            <w:tcW w:w="180" w:type="dxa"/>
            <w:vAlign w:val="bottom"/>
          </w:tcPr>
          <w:p>
            <w:pPr>
              <w:spacing w:after="0"/>
              <w:rPr>
                <w:sz w:val="20"/>
                <w:szCs w:val="20"/>
                <w:color w:val="auto"/>
              </w:rPr>
            </w:pPr>
          </w:p>
        </w:tc>
        <w:tc>
          <w:tcPr>
            <w:tcW w:w="21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Broker Non-Votes</w:t>
            </w:r>
          </w:p>
        </w:tc>
      </w:tr>
      <w:tr>
        <w:trPr>
          <w:trHeight w:val="209"/>
        </w:trPr>
        <w:tc>
          <w:tcPr>
            <w:tcW w:w="2140" w:type="dxa"/>
            <w:vAlign w:val="bottom"/>
            <w:shd w:val="clear" w:color="auto" w:fill="CEEEFB"/>
          </w:tcPr>
          <w:p>
            <w:pPr>
              <w:jc w:val="right"/>
              <w:ind w:right="530"/>
              <w:spacing w:after="0"/>
              <w:rPr>
                <w:sz w:val="20"/>
                <w:szCs w:val="20"/>
                <w:color w:val="auto"/>
              </w:rPr>
            </w:pPr>
            <w:r>
              <w:rPr>
                <w:rFonts w:ascii="Times New Roman" w:cs="Times New Roman" w:eastAsia="Times New Roman" w:hAnsi="Times New Roman"/>
                <w:sz w:val="18"/>
                <w:szCs w:val="18"/>
                <w:color w:val="auto"/>
              </w:rPr>
              <w:t>118,104,954</w:t>
            </w:r>
          </w:p>
        </w:tc>
        <w:tc>
          <w:tcPr>
            <w:tcW w:w="2320" w:type="dxa"/>
            <w:vAlign w:val="bottom"/>
            <w:gridSpan w:val="2"/>
            <w:shd w:val="clear" w:color="auto" w:fill="CEEEFB"/>
          </w:tcPr>
          <w:p>
            <w:pPr>
              <w:ind w:left="960"/>
              <w:spacing w:after="0"/>
              <w:rPr>
                <w:sz w:val="20"/>
                <w:szCs w:val="20"/>
                <w:color w:val="auto"/>
              </w:rPr>
            </w:pPr>
            <w:r>
              <w:rPr>
                <w:rFonts w:ascii="Times New Roman" w:cs="Times New Roman" w:eastAsia="Times New Roman" w:hAnsi="Times New Roman"/>
                <w:sz w:val="18"/>
                <w:szCs w:val="18"/>
                <w:color w:val="auto"/>
              </w:rPr>
              <w:t>240,804</w:t>
            </w:r>
          </w:p>
        </w:tc>
        <w:tc>
          <w:tcPr>
            <w:tcW w:w="2340" w:type="dxa"/>
            <w:vAlign w:val="bottom"/>
            <w:gridSpan w:val="2"/>
            <w:shd w:val="clear" w:color="auto" w:fill="CEEEFB"/>
          </w:tcPr>
          <w:p>
            <w:pPr>
              <w:jc w:val="right"/>
              <w:ind w:right="750"/>
              <w:spacing w:after="0"/>
              <w:rPr>
                <w:sz w:val="20"/>
                <w:szCs w:val="20"/>
                <w:color w:val="auto"/>
              </w:rPr>
            </w:pPr>
            <w:r>
              <w:rPr>
                <w:rFonts w:ascii="Times New Roman" w:cs="Times New Roman" w:eastAsia="Times New Roman" w:hAnsi="Times New Roman"/>
                <w:sz w:val="18"/>
                <w:szCs w:val="18"/>
                <w:color w:val="auto"/>
              </w:rPr>
              <w:t>47,931</w:t>
            </w:r>
          </w:p>
        </w:tc>
        <w:tc>
          <w:tcPr>
            <w:tcW w:w="180" w:type="dxa"/>
            <w:vAlign w:val="bottom"/>
            <w:shd w:val="clear" w:color="auto" w:fill="CEEEFB"/>
          </w:tcPr>
          <w:p>
            <w:pPr>
              <w:spacing w:after="0"/>
              <w:rPr>
                <w:sz w:val="18"/>
                <w:szCs w:val="18"/>
                <w:color w:val="auto"/>
              </w:rPr>
            </w:pPr>
          </w:p>
        </w:tc>
        <w:tc>
          <w:tcPr>
            <w:tcW w:w="2140" w:type="dxa"/>
            <w:vAlign w:val="bottom"/>
            <w:shd w:val="clear" w:color="auto" w:fill="CEEEFB"/>
          </w:tcPr>
          <w:p>
            <w:pPr>
              <w:jc w:val="center"/>
              <w:spacing w:after="0"/>
              <w:rPr>
                <w:sz w:val="20"/>
                <w:szCs w:val="20"/>
                <w:color w:val="auto"/>
              </w:rPr>
            </w:pPr>
            <w:r>
              <w:rPr>
                <w:rFonts w:ascii="Times New Roman" w:cs="Times New Roman" w:eastAsia="Times New Roman" w:hAnsi="Times New Roman"/>
                <w:sz w:val="18"/>
                <w:szCs w:val="18"/>
                <w:color w:val="auto"/>
                <w:w w:val="99"/>
              </w:rPr>
              <w:t>—</w:t>
            </w:r>
          </w:p>
        </w:tc>
      </w:tr>
    </w:tbl>
    <w:p>
      <w:pPr>
        <w:spacing w:after="0" w:line="200" w:lineRule="exact"/>
        <w:rPr>
          <w:sz w:val="20"/>
          <w:szCs w:val="20"/>
          <w:color w:val="auto"/>
        </w:rPr>
      </w:pPr>
    </w:p>
    <w:p>
      <w:pPr>
        <w:spacing w:after="0" w:line="322" w:lineRule="exact"/>
        <w:rPr>
          <w:sz w:val="20"/>
          <w:szCs w:val="20"/>
          <w:color w:val="auto"/>
        </w:rPr>
      </w:pPr>
    </w:p>
    <w:p>
      <w:pPr>
        <w:ind w:right="540"/>
        <w:spacing w:after="0" w:line="282" w:lineRule="auto"/>
        <w:rPr>
          <w:sz w:val="20"/>
          <w:szCs w:val="20"/>
          <w:color w:val="auto"/>
        </w:rPr>
      </w:pPr>
      <w:r>
        <w:rPr>
          <w:rFonts w:ascii="Times New Roman" w:cs="Times New Roman" w:eastAsia="Times New Roman" w:hAnsi="Times New Roman"/>
          <w:sz w:val="18"/>
          <w:szCs w:val="18"/>
          <w:color w:val="auto"/>
        </w:rPr>
        <w:t>The Company’s stockholders ratified the appointment of Grant Thornton LLP as the Company’s independent registered public accounting firm for the fiscal year ending December 31,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-429895</wp:posOffset>
            </wp:positionH>
            <wp:positionV relativeFrom="paragraph">
              <wp:posOffset>855980</wp:posOffset>
            </wp:positionV>
            <wp:extent cx="7037705"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037705" cy="42545"/>
                    </a:xfrm>
                    <a:prstGeom prst="rect">
                      <a:avLst/>
                    </a:prstGeom>
                    <a:noFill/>
                  </pic:spPr>
                </pic:pic>
              </a:graphicData>
            </a:graphic>
          </wp:anchor>
        </w:drawing>
      </w:r>
    </w:p>
    <w:p>
      <w:pPr>
        <w:sectPr>
          <w:pgSz w:w="11900" w:h="16838" w:orient="portrait"/>
          <w:cols w:equalWidth="0" w:num="1">
            <w:col w:w="9660"/>
          </w:cols>
          <w:pgMar w:left="1080" w:top="1089" w:right="1159" w:bottom="1440" w:gutter="0" w:footer="0" w:header="0"/>
        </w:sectPr>
      </w:pPr>
    </w:p>
    <w:bookmarkStart w:id="3" w:name="page4"/>
    <w:bookmarkEnd w:id="3"/>
    <w:p>
      <w:pPr>
        <w:jc w:val="center"/>
        <w:ind w:right="-360"/>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175" w:lineRule="exact"/>
        <w:rPr>
          <w:sz w:val="20"/>
          <w:szCs w:val="20"/>
          <w:color w:val="auto"/>
        </w:rPr>
      </w:pPr>
    </w:p>
    <w:p>
      <w:pPr>
        <w:ind w:right="79"/>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ind w:left="5340"/>
        <w:spacing w:after="0"/>
        <w:rPr>
          <w:sz w:val="20"/>
          <w:szCs w:val="20"/>
          <w:color w:val="auto"/>
        </w:rPr>
      </w:pPr>
      <w:r>
        <w:rPr>
          <w:rFonts w:ascii="Times New Roman" w:cs="Times New Roman" w:eastAsia="Times New Roman" w:hAnsi="Times New Roman"/>
          <w:sz w:val="18"/>
          <w:szCs w:val="18"/>
          <w:b w:val="1"/>
          <w:bCs w:val="1"/>
          <w:color w:val="auto"/>
        </w:rPr>
        <w:t>FIREFLY AEROSPACE INC.</w:t>
      </w:r>
    </w:p>
    <w:p>
      <w:pPr>
        <w:spacing w:after="0" w:line="31" w:lineRule="exact"/>
        <w:rPr>
          <w:sz w:val="20"/>
          <w:szCs w:val="20"/>
          <w:color w:val="auto"/>
        </w:rPr>
      </w:pPr>
    </w:p>
    <w:p>
      <w:pPr>
        <w:spacing w:after="0"/>
        <w:tabs>
          <w:tab w:leader="none" w:pos="5320" w:val="left"/>
          <w:tab w:leader="none" w:pos="6000" w:val="left"/>
        </w:tabs>
        <w:rPr>
          <w:sz w:val="20"/>
          <w:szCs w:val="20"/>
          <w:color w:val="auto"/>
        </w:rPr>
      </w:pPr>
      <w:r>
        <w:rPr>
          <w:rFonts w:ascii="Times New Roman" w:cs="Times New Roman" w:eastAsia="Times New Roman" w:hAnsi="Times New Roman"/>
          <w:sz w:val="18"/>
          <w:szCs w:val="18"/>
          <w:color w:val="auto"/>
        </w:rPr>
        <w:t>Date: June 5, 2026</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Darren Ma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3825875</wp:posOffset>
            </wp:positionH>
            <wp:positionV relativeFrom="paragraph">
              <wp:posOffset>14605</wp:posOffset>
            </wp:positionV>
            <wp:extent cx="2348865"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2348865" cy="8255"/>
                    </a:xfrm>
                    <a:prstGeom prst="rect">
                      <a:avLst/>
                    </a:prstGeom>
                    <a:noFill/>
                  </pic:spPr>
                </pic:pic>
              </a:graphicData>
            </a:graphic>
          </wp:anchor>
        </w:drawing>
      </w:r>
    </w:p>
    <w:p>
      <w:pPr>
        <w:spacing w:after="0" w:line="30" w:lineRule="exact"/>
        <w:rPr>
          <w:sz w:val="20"/>
          <w:szCs w:val="20"/>
          <w:color w:val="auto"/>
        </w:rPr>
      </w:pPr>
    </w:p>
    <w:p>
      <w:pPr>
        <w:ind w:left="6020"/>
        <w:spacing w:after="0"/>
        <w:rPr>
          <w:sz w:val="20"/>
          <w:szCs w:val="20"/>
          <w:color w:val="auto"/>
        </w:rPr>
      </w:pPr>
      <w:r>
        <w:rPr>
          <w:rFonts w:ascii="Times New Roman" w:cs="Times New Roman" w:eastAsia="Times New Roman" w:hAnsi="Times New Roman"/>
          <w:sz w:val="18"/>
          <w:szCs w:val="18"/>
          <w:color w:val="auto"/>
        </w:rPr>
        <w:t>Darren Ma</w:t>
      </w:r>
    </w:p>
    <w:p>
      <w:pPr>
        <w:spacing w:after="0" w:line="9" w:lineRule="exact"/>
        <w:rPr>
          <w:sz w:val="20"/>
          <w:szCs w:val="20"/>
          <w:color w:val="auto"/>
        </w:rPr>
      </w:pPr>
    </w:p>
    <w:p>
      <w:pPr>
        <w:ind w:left="6020"/>
        <w:spacing w:after="0"/>
        <w:rPr>
          <w:sz w:val="20"/>
          <w:szCs w:val="20"/>
          <w:color w:val="auto"/>
        </w:rPr>
      </w:pPr>
      <w:r>
        <w:rPr>
          <w:rFonts w:ascii="Times New Roman" w:cs="Times New Roman" w:eastAsia="Times New Roman" w:hAnsi="Times New Roman"/>
          <w:sz w:val="18"/>
          <w:szCs w:val="18"/>
          <w:color w:val="auto"/>
        </w:rPr>
        <w:t>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-429895</wp:posOffset>
            </wp:positionH>
            <wp:positionV relativeFrom="paragraph">
              <wp:posOffset>610235</wp:posOffset>
            </wp:positionV>
            <wp:extent cx="7037705"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037705" cy="42545"/>
                    </a:xfrm>
                    <a:prstGeom prst="rect">
                      <a:avLst/>
                    </a:prstGeom>
                    <a:noFill/>
                  </pic:spPr>
                </pic:pic>
              </a:graphicData>
            </a:graphic>
          </wp:anchor>
        </w:drawing>
      </w:r>
    </w:p>
    <w:p>
      <w:pPr>
        <w:sectPr>
          <w:pgSz w:w="11900" w:h="16838" w:orient="portrait"/>
          <w:cols w:equalWidth="0" w:num="1">
            <w:col w:w="9379"/>
          </w:cols>
          <w:pgMar w:left="1080" w:top="765" w:right="1440" w:bottom="1440" w:gutter="0" w:footer="0" w:header="0"/>
        </w:sectPr>
      </w:pPr>
    </w:p>
    <w:bookmarkStart w:id="4" w:name="page5"/>
    <w:bookmarkEnd w:id="4"/>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2026-06-05T15:52:44Z</dcterms:created>
  <dcterms:modified xsi:type="dcterms:W3CDTF">2026-06-05T15:52:44Z</dcterms:modified>
</cp:coreProperties>
</file>